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9F1B" w14:textId="361B801D" w:rsidR="00BD0CD5" w:rsidRPr="00FD73DC" w:rsidRDefault="00BD0CD5" w:rsidP="00BD0CD5">
      <w:pPr>
        <w:pStyle w:val="a3"/>
        <w:spacing w:before="0" w:beforeAutospacing="0" w:after="0" w:afterAutospacing="0" w:line="180" w:lineRule="atLeast"/>
        <w:ind w:firstLine="540"/>
        <w:jc w:val="both"/>
        <w:rPr>
          <w:b/>
          <w:bCs/>
          <w:sz w:val="26"/>
          <w:szCs w:val="26"/>
        </w:rPr>
      </w:pPr>
      <w:r w:rsidRPr="00FD73DC">
        <w:rPr>
          <w:b/>
          <w:bCs/>
          <w:sz w:val="26"/>
          <w:szCs w:val="26"/>
        </w:rPr>
        <w:t>Установлен порядок выдачи документа, подтверждающего проведение работ по реконструкции дома блокированной застройки, осуществляемых с привлечением средств маткапитала</w:t>
      </w:r>
    </w:p>
    <w:p w14:paraId="580E9779" w14:textId="77777777" w:rsidR="00BD0CD5" w:rsidRPr="00FD73DC" w:rsidRDefault="00BD0CD5" w:rsidP="00BD0CD5">
      <w:pPr>
        <w:pStyle w:val="a3"/>
        <w:spacing w:before="0" w:beforeAutospacing="0" w:after="0" w:afterAutospacing="0" w:line="180" w:lineRule="atLeast"/>
        <w:ind w:firstLine="540"/>
        <w:jc w:val="both"/>
        <w:rPr>
          <w:sz w:val="26"/>
          <w:szCs w:val="26"/>
        </w:rPr>
      </w:pPr>
    </w:p>
    <w:p w14:paraId="53ACC098" w14:textId="4526969B" w:rsidR="00BD0CD5" w:rsidRPr="00FD73DC" w:rsidRDefault="00BD0CD5" w:rsidP="00FD73DC">
      <w:pPr>
        <w:pStyle w:val="a3"/>
        <w:spacing w:before="0" w:beforeAutospacing="0" w:after="0" w:afterAutospacing="0" w:line="180" w:lineRule="atLeast"/>
        <w:ind w:firstLine="540"/>
        <w:jc w:val="both"/>
        <w:rPr>
          <w:sz w:val="26"/>
          <w:szCs w:val="26"/>
        </w:rPr>
      </w:pPr>
      <w:r w:rsidRPr="00FD73DC">
        <w:rPr>
          <w:sz w:val="26"/>
          <w:szCs w:val="26"/>
        </w:rPr>
        <w:t>В соответствии с Постановлением Правительства РФ от 23.04.2024 № 524 «О внесении изменений в некоторые акты Правительства Российской Федерации» лица, получившие сертификат на материнский (семейный) капитал, могут воспользоваться соответствующими средствами при проведении реконструкции дома блокированной застройки, в результате которой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 РФ.</w:t>
      </w:r>
    </w:p>
    <w:p w14:paraId="713675F6" w14:textId="13064869" w:rsidR="00DB1460" w:rsidRPr="00FD73DC" w:rsidRDefault="00BD0CD5" w:rsidP="00FD73DC">
      <w:pPr>
        <w:pStyle w:val="a3"/>
        <w:spacing w:before="0" w:beforeAutospacing="0" w:after="0" w:afterAutospacing="0" w:line="180" w:lineRule="atLeast"/>
        <w:ind w:firstLine="540"/>
        <w:jc w:val="both"/>
        <w:rPr>
          <w:sz w:val="26"/>
          <w:szCs w:val="26"/>
        </w:rPr>
      </w:pPr>
      <w:r w:rsidRPr="00FD73DC">
        <w:rPr>
          <w:sz w:val="26"/>
          <w:szCs w:val="26"/>
        </w:rPr>
        <w:t>Согласно постановлению выдача документа, подтверждающего проведение указанных работ (акта освидетельствования), будет осуществляться в порядке, установленном ранее постановлением Правительства РФ от 18 августа 2011 г. № 686 в отношении работ по реконструкции объекта индивидуального жилищного строительства. </w:t>
      </w:r>
    </w:p>
    <w:p w14:paraId="23F0FB81" w14:textId="4A055DB4" w:rsidR="00BD0CD5" w:rsidRPr="00FD73DC" w:rsidRDefault="00BD0CD5" w:rsidP="00FD73DC">
      <w:pPr>
        <w:pStyle w:val="a3"/>
        <w:spacing w:before="0" w:beforeAutospacing="0" w:after="0" w:afterAutospacing="0" w:line="180" w:lineRule="atLeast"/>
        <w:ind w:firstLine="540"/>
        <w:jc w:val="both"/>
        <w:rPr>
          <w:sz w:val="26"/>
          <w:szCs w:val="26"/>
        </w:rPr>
      </w:pPr>
      <w:r w:rsidRPr="00FD73DC">
        <w:rPr>
          <w:sz w:val="26"/>
          <w:szCs w:val="26"/>
        </w:rPr>
        <w:t xml:space="preserve">Вместе с тем, признать утратившими силу пункт 2 постановления Правительства Российской Федерации от 27 ноября 2010 г.№ 937 «О внесении изменений в Правила направления средств (части средств) материнского (семейного) капитала на улучшение жилищных условий». </w:t>
      </w:r>
    </w:p>
    <w:p w14:paraId="1E8A899B" w14:textId="410C7B2B" w:rsidR="00BD0CD5" w:rsidRPr="00FD73DC" w:rsidRDefault="00BD0CD5" w:rsidP="00BD0CD5">
      <w:pPr>
        <w:pStyle w:val="a3"/>
        <w:spacing w:before="0" w:beforeAutospacing="0" w:after="0" w:afterAutospacing="0" w:line="180" w:lineRule="atLeast"/>
        <w:ind w:firstLine="540"/>
        <w:jc w:val="both"/>
        <w:rPr>
          <w:sz w:val="26"/>
          <w:szCs w:val="26"/>
        </w:rPr>
      </w:pPr>
      <w:r w:rsidRPr="00FD73DC">
        <w:rPr>
          <w:sz w:val="26"/>
          <w:szCs w:val="26"/>
        </w:rPr>
        <w:t>Указанный документ начинает действовать с 01.05.2024.</w:t>
      </w:r>
    </w:p>
    <w:p w14:paraId="16DDEE8D" w14:textId="5B15471A" w:rsidR="00BD0CD5" w:rsidRPr="00FD73DC" w:rsidRDefault="00BD0CD5" w:rsidP="00BD0CD5">
      <w:pPr>
        <w:pStyle w:val="a3"/>
        <w:spacing w:before="0" w:beforeAutospacing="0" w:after="0" w:afterAutospacing="0" w:line="180" w:lineRule="atLeast"/>
        <w:ind w:firstLine="540"/>
        <w:jc w:val="both"/>
        <w:rPr>
          <w:sz w:val="26"/>
          <w:szCs w:val="26"/>
        </w:rPr>
      </w:pPr>
    </w:p>
    <w:p w14:paraId="5B87BD11" w14:textId="308B7D09" w:rsidR="00D33F0D" w:rsidRPr="00FD73DC" w:rsidRDefault="00D33F0D" w:rsidP="00D33F0D">
      <w:pPr>
        <w:pStyle w:val="a3"/>
        <w:spacing w:before="0" w:beforeAutospacing="0" w:after="0" w:afterAutospacing="0" w:line="180" w:lineRule="atLeast"/>
        <w:ind w:firstLine="540"/>
        <w:jc w:val="both"/>
        <w:rPr>
          <w:b/>
          <w:sz w:val="26"/>
          <w:szCs w:val="26"/>
        </w:rPr>
      </w:pPr>
      <w:r w:rsidRPr="00FD73DC">
        <w:rPr>
          <w:b/>
          <w:sz w:val="26"/>
          <w:szCs w:val="26"/>
        </w:rPr>
        <w:t>Определен дополнительный перечень документов (сведений), необходимых для подтверждения условий назначения повышенной фиксированной выплаты к пенсии</w:t>
      </w:r>
    </w:p>
    <w:p w14:paraId="72487EBC" w14:textId="77777777" w:rsidR="00D33F0D" w:rsidRPr="00FD73DC" w:rsidRDefault="00D33F0D" w:rsidP="00D33F0D">
      <w:pPr>
        <w:pStyle w:val="a3"/>
        <w:spacing w:before="0" w:beforeAutospacing="0" w:after="0" w:afterAutospacing="0" w:line="180" w:lineRule="atLeast"/>
        <w:ind w:firstLine="540"/>
        <w:jc w:val="both"/>
        <w:rPr>
          <w:sz w:val="26"/>
          <w:szCs w:val="26"/>
        </w:rPr>
      </w:pPr>
    </w:p>
    <w:p w14:paraId="6F4AD463" w14:textId="1A697A5B" w:rsidR="00BD0CD5" w:rsidRPr="00FD73DC" w:rsidRDefault="00BD0CD5" w:rsidP="00FD73DC">
      <w:pPr>
        <w:pStyle w:val="a3"/>
        <w:spacing w:before="0" w:beforeAutospacing="0" w:after="0" w:afterAutospacing="0" w:line="180" w:lineRule="atLeast"/>
        <w:ind w:firstLine="540"/>
        <w:jc w:val="both"/>
        <w:rPr>
          <w:sz w:val="26"/>
          <w:szCs w:val="26"/>
        </w:rPr>
      </w:pPr>
      <w:r w:rsidRPr="00FD73DC">
        <w:rPr>
          <w:sz w:val="26"/>
          <w:szCs w:val="26"/>
        </w:rPr>
        <w:t>Приказом Минтруда России от 22.03.2024 № 136</w:t>
      </w:r>
      <w:r w:rsidR="00D33F0D" w:rsidRPr="00FD73DC">
        <w:rPr>
          <w:sz w:val="26"/>
          <w:szCs w:val="26"/>
        </w:rPr>
        <w:t xml:space="preserve"> Н</w:t>
      </w:r>
      <w:r w:rsidRPr="00FD73DC">
        <w:rPr>
          <w:sz w:val="26"/>
          <w:szCs w:val="26"/>
        </w:rPr>
        <w:t xml:space="preserve"> </w:t>
      </w:r>
      <w:r w:rsidR="00D33F0D" w:rsidRPr="00FD73DC">
        <w:rPr>
          <w:sz w:val="26"/>
          <w:szCs w:val="26"/>
        </w:rPr>
        <w:t>внесены изменения</w:t>
      </w:r>
      <w:r w:rsidRPr="00FD73DC">
        <w:rPr>
          <w:sz w:val="26"/>
          <w:szCs w:val="26"/>
        </w:rPr>
        <w:t xml:space="preserve"> в перечень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w:t>
      </w:r>
      <w:r w:rsidR="00D33F0D" w:rsidRPr="00FD73DC">
        <w:rPr>
          <w:sz w:val="26"/>
          <w:szCs w:val="26"/>
        </w:rPr>
        <w:t>ого</w:t>
      </w:r>
      <w:r w:rsidRPr="00FD73DC">
        <w:rPr>
          <w:sz w:val="26"/>
          <w:szCs w:val="26"/>
        </w:rPr>
        <w:t xml:space="preserve"> приказом Министерства труда и социальной защиты Российской Федерации от 4 августа 2021 г. </w:t>
      </w:r>
      <w:r w:rsidR="00D33F0D" w:rsidRPr="00FD73DC">
        <w:rPr>
          <w:sz w:val="26"/>
          <w:szCs w:val="26"/>
        </w:rPr>
        <w:t xml:space="preserve">№ </w:t>
      </w:r>
      <w:r w:rsidRPr="00FD73DC">
        <w:rPr>
          <w:sz w:val="26"/>
          <w:szCs w:val="26"/>
        </w:rPr>
        <w:t>538</w:t>
      </w:r>
      <w:r w:rsidR="00D33F0D" w:rsidRPr="00FD73DC">
        <w:rPr>
          <w:sz w:val="26"/>
          <w:szCs w:val="26"/>
        </w:rPr>
        <w:t xml:space="preserve"> Н.</w:t>
      </w:r>
    </w:p>
    <w:p w14:paraId="009489D5" w14:textId="77777777" w:rsidR="00D33F0D" w:rsidRPr="00FD73DC" w:rsidRDefault="00BD0CD5" w:rsidP="00FD73DC">
      <w:pPr>
        <w:pStyle w:val="a3"/>
        <w:spacing w:before="0" w:beforeAutospacing="0" w:after="0" w:afterAutospacing="0" w:line="180" w:lineRule="atLeast"/>
        <w:ind w:firstLine="540"/>
        <w:jc w:val="both"/>
        <w:rPr>
          <w:sz w:val="26"/>
          <w:szCs w:val="26"/>
        </w:rPr>
      </w:pPr>
      <w:r w:rsidRPr="00FD73DC">
        <w:rPr>
          <w:sz w:val="26"/>
          <w:szCs w:val="26"/>
        </w:rPr>
        <w:t xml:space="preserve">Федеральным законом от 11.03.2024 </w:t>
      </w:r>
      <w:r w:rsidR="00D33F0D" w:rsidRPr="00FD73DC">
        <w:rPr>
          <w:sz w:val="26"/>
          <w:szCs w:val="26"/>
        </w:rPr>
        <w:t>№</w:t>
      </w:r>
      <w:r w:rsidRPr="00FD73DC">
        <w:rPr>
          <w:sz w:val="26"/>
          <w:szCs w:val="26"/>
        </w:rPr>
        <w:t xml:space="preserve"> 47-ФЗ к лицам, имеющим право на получение повышенной фиксированной выплаты к пенсии по старости и к страховой пенсии по инвалидности, отнесены прадедушки и прабабушки, на иждивении которых находятся нетрудоспособные правнуки (при соблюдении установленных условий).</w:t>
      </w:r>
    </w:p>
    <w:p w14:paraId="5A558CE8" w14:textId="5D785099" w:rsidR="00BD0CD5" w:rsidRPr="00FD73DC" w:rsidRDefault="00BD0CD5" w:rsidP="00FD73DC">
      <w:pPr>
        <w:pStyle w:val="a3"/>
        <w:spacing w:before="0" w:beforeAutospacing="0" w:after="0" w:afterAutospacing="0" w:line="180" w:lineRule="atLeast"/>
        <w:ind w:firstLine="540"/>
        <w:jc w:val="both"/>
        <w:rPr>
          <w:sz w:val="26"/>
          <w:szCs w:val="26"/>
        </w:rPr>
      </w:pPr>
      <w:r w:rsidRPr="00FD73DC">
        <w:rPr>
          <w:sz w:val="26"/>
          <w:szCs w:val="26"/>
        </w:rPr>
        <w:t>Настоящим приказом, в частности, в целях реализации права указанных лиц на получение повышенной фиксированной выплаты к пенсии установлен перечень документов (сведений), для подтверждения соответствия условиям ее назначения. В перечень включены в т.ч. сведения о возрасте нетрудоспособного члена семьи гражданина, а также о том, что нетрудоспособный член семьи гражданина не имеет трудоспособных родителей.</w:t>
      </w:r>
    </w:p>
    <w:p w14:paraId="66D29A6D" w14:textId="5FAA04EA" w:rsidR="00D33F0D" w:rsidRPr="00FD73DC" w:rsidRDefault="00D33F0D" w:rsidP="00FD73DC">
      <w:pPr>
        <w:pStyle w:val="a3"/>
        <w:spacing w:before="0" w:beforeAutospacing="0" w:after="0" w:afterAutospacing="0" w:line="180" w:lineRule="atLeast"/>
        <w:ind w:firstLine="540"/>
        <w:jc w:val="both"/>
        <w:rPr>
          <w:sz w:val="26"/>
          <w:szCs w:val="26"/>
        </w:rPr>
      </w:pPr>
      <w:r w:rsidRPr="00FD73DC">
        <w:rPr>
          <w:sz w:val="26"/>
          <w:szCs w:val="26"/>
        </w:rPr>
        <w:t>Повышение фиксированной выплаты к страховой пенсии по старости и к страховой пенсии по инвалидности в сумме, равной одной третьей суммы, предусмотренной ч. 1 ст. 16 настоящего Федерального закона, устанавливается лицам, на иждивении которых находятся нетрудоспособные члены семьи:</w:t>
      </w:r>
    </w:p>
    <w:p w14:paraId="387B45B4" w14:textId="77777777" w:rsidR="00D33F0D" w:rsidRPr="00FD73DC" w:rsidRDefault="00D33F0D" w:rsidP="00FD73DC">
      <w:pPr>
        <w:pStyle w:val="a3"/>
        <w:spacing w:before="0" w:beforeAutospacing="0" w:after="0" w:afterAutospacing="0" w:line="180" w:lineRule="atLeast"/>
        <w:ind w:firstLine="540"/>
        <w:jc w:val="both"/>
        <w:rPr>
          <w:sz w:val="26"/>
          <w:szCs w:val="26"/>
        </w:rPr>
      </w:pPr>
      <w:r w:rsidRPr="00FD73DC">
        <w:rPr>
          <w:sz w:val="26"/>
          <w:szCs w:val="26"/>
        </w:rPr>
        <w:lastRenderedPageBreak/>
        <w:t>1) дети,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w:t>
      </w:r>
    </w:p>
    <w:p w14:paraId="6C2DD8C3" w14:textId="77777777" w:rsidR="00D33F0D" w:rsidRPr="00FD73DC" w:rsidRDefault="00D33F0D" w:rsidP="00FD73DC">
      <w:pPr>
        <w:pStyle w:val="a3"/>
        <w:spacing w:before="0" w:beforeAutospacing="0" w:after="0" w:afterAutospacing="0" w:line="180" w:lineRule="atLeast"/>
        <w:ind w:firstLine="540"/>
        <w:jc w:val="both"/>
        <w:rPr>
          <w:sz w:val="26"/>
          <w:szCs w:val="26"/>
        </w:rPr>
      </w:pPr>
      <w:r w:rsidRPr="00FD73DC">
        <w:rPr>
          <w:sz w:val="26"/>
          <w:szCs w:val="26"/>
        </w:rPr>
        <w:t>2) братья, сестры, внуки и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14:paraId="35E1B0E5" w14:textId="77777777" w:rsidR="00D33F0D" w:rsidRPr="00FD73DC" w:rsidRDefault="00D33F0D" w:rsidP="00FD73DC">
      <w:pPr>
        <w:pStyle w:val="a3"/>
        <w:spacing w:before="0" w:beforeAutospacing="0" w:after="0" w:afterAutospacing="0" w:line="180" w:lineRule="atLeast"/>
        <w:ind w:firstLine="540"/>
        <w:jc w:val="both"/>
        <w:rPr>
          <w:sz w:val="26"/>
          <w:szCs w:val="26"/>
        </w:rPr>
      </w:pPr>
      <w:r w:rsidRPr="00FD73DC">
        <w:rPr>
          <w:sz w:val="26"/>
          <w:szCs w:val="26"/>
        </w:rPr>
        <w:t>3) родители или супруг,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w:t>
      </w:r>
    </w:p>
    <w:p w14:paraId="3DBE0167" w14:textId="191F84F3" w:rsidR="00D33F0D" w:rsidRDefault="00D33F0D" w:rsidP="00FD73DC">
      <w:pPr>
        <w:pStyle w:val="a3"/>
        <w:spacing w:before="0" w:beforeAutospacing="0" w:after="0" w:afterAutospacing="0" w:line="180" w:lineRule="atLeast"/>
        <w:ind w:firstLine="540"/>
        <w:jc w:val="both"/>
        <w:rPr>
          <w:sz w:val="26"/>
          <w:szCs w:val="26"/>
        </w:rPr>
      </w:pPr>
      <w:r w:rsidRPr="00FD73DC">
        <w:rPr>
          <w:sz w:val="26"/>
          <w:szCs w:val="26"/>
        </w:rPr>
        <w:t>4) дедушка, бабушка,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 при отсутствии лиц, которые в соответствии с законодательством Российской Федерации обязаны их содержать.</w:t>
      </w:r>
    </w:p>
    <w:p w14:paraId="693C0E28" w14:textId="77777777" w:rsidR="00FD73DC" w:rsidRPr="00FD73DC" w:rsidRDefault="00FD73DC" w:rsidP="00FD73DC">
      <w:pPr>
        <w:pStyle w:val="a3"/>
        <w:spacing w:before="0" w:beforeAutospacing="0" w:after="0" w:afterAutospacing="0" w:line="180" w:lineRule="atLeast"/>
        <w:ind w:firstLine="540"/>
        <w:jc w:val="both"/>
        <w:rPr>
          <w:sz w:val="26"/>
          <w:szCs w:val="26"/>
        </w:rPr>
      </w:pPr>
    </w:p>
    <w:p w14:paraId="39BE1748" w14:textId="77777777" w:rsidR="00FD73DC" w:rsidRPr="00FD73DC" w:rsidRDefault="00E61704" w:rsidP="00FD73DC">
      <w:pPr>
        <w:pStyle w:val="a3"/>
        <w:spacing w:before="0" w:beforeAutospacing="0" w:after="0" w:afterAutospacing="0" w:line="180" w:lineRule="atLeast"/>
        <w:ind w:firstLine="540"/>
        <w:jc w:val="both"/>
        <w:rPr>
          <w:b/>
          <w:sz w:val="26"/>
          <w:szCs w:val="26"/>
        </w:rPr>
      </w:pPr>
      <w:r w:rsidRPr="00FD73DC">
        <w:rPr>
          <w:b/>
          <w:sz w:val="26"/>
          <w:szCs w:val="26"/>
        </w:rPr>
        <w:t>Установлен перечень общедоступной информации, содержащейся в системе мониторинга движения лекарственных препаратов для медицинского применения</w:t>
      </w:r>
      <w:r w:rsidR="00FD73DC" w:rsidRPr="00FD73DC">
        <w:rPr>
          <w:b/>
          <w:sz w:val="26"/>
          <w:szCs w:val="26"/>
        </w:rPr>
        <w:t>.</w:t>
      </w:r>
    </w:p>
    <w:p w14:paraId="4A4D78C9" w14:textId="77777777" w:rsidR="00FD73DC" w:rsidRDefault="00FD73DC" w:rsidP="00FD73DC">
      <w:pPr>
        <w:pStyle w:val="a3"/>
        <w:spacing w:before="0" w:beforeAutospacing="0" w:after="0" w:afterAutospacing="0" w:line="180" w:lineRule="atLeast"/>
        <w:ind w:firstLine="540"/>
        <w:jc w:val="both"/>
        <w:rPr>
          <w:sz w:val="26"/>
          <w:szCs w:val="26"/>
        </w:rPr>
      </w:pPr>
    </w:p>
    <w:p w14:paraId="7A2A5467" w14:textId="25E51FA9"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Приказом Минздрава России от 18.03.2024 № 128</w:t>
      </w:r>
      <w:r w:rsidR="00FD73DC">
        <w:rPr>
          <w:sz w:val="26"/>
          <w:szCs w:val="26"/>
        </w:rPr>
        <w:t xml:space="preserve"> </w:t>
      </w:r>
      <w:r w:rsidRPr="00FD73DC">
        <w:rPr>
          <w:sz w:val="26"/>
          <w:szCs w:val="26"/>
        </w:rPr>
        <w:t>утвержден состав общедоступной информации, содержащейся в системе мониторинга движения лекарственных препаратов для медицинского применения, требований к периодичности размещения и срокам обновления набора данных в информационно-телекоммуникационной сети «Интернет».</w:t>
      </w:r>
    </w:p>
    <w:p w14:paraId="2BE71470" w14:textId="406006D4"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К такой информации относятся:</w:t>
      </w:r>
    </w:p>
    <w:p w14:paraId="5B07C956" w14:textId="77777777"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сведения о количестве субъектов обращения лекарственных средств, зарегистрированных в системе мониторинга;</w:t>
      </w:r>
    </w:p>
    <w:p w14:paraId="54C3CF15" w14:textId="77777777"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сведения о наименованиях субъектов обращения лекарственных средств, зарегистрированных в системе мониторинга, в том числе идентификационные номера налогоплательщиков и адреса мест осуществления деятельности субъектов обращения лекарственных средств;</w:t>
      </w:r>
    </w:p>
    <w:p w14:paraId="76EC2AE6" w14:textId="77777777"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 xml:space="preserve">сведения о товарной номенклатуре и информация о лекарственных препаратах для медицинского применения, подлежащих обязательной маркировке средствами </w:t>
      </w:r>
      <w:r w:rsidRPr="00FD73DC">
        <w:rPr>
          <w:sz w:val="26"/>
          <w:szCs w:val="26"/>
        </w:rPr>
        <w:lastRenderedPageBreak/>
        <w:t>идентификации, указанная на упаковке таких лекарственных препаратов (при наличии в системе мониторинга);</w:t>
      </w:r>
    </w:p>
    <w:p w14:paraId="5D36A453" w14:textId="77777777"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сведения, подтверждающие достоверность средства идентификации, содержащиеся в системе мониторинга.</w:t>
      </w:r>
    </w:p>
    <w:p w14:paraId="1F755F51" w14:textId="35208E67" w:rsidR="00E61704" w:rsidRPr="00FD73DC" w:rsidRDefault="00E61704" w:rsidP="00FD73DC">
      <w:pPr>
        <w:pStyle w:val="a3"/>
        <w:spacing w:before="0" w:beforeAutospacing="0" w:after="0" w:afterAutospacing="0" w:line="180" w:lineRule="atLeast"/>
        <w:ind w:firstLine="540"/>
        <w:jc w:val="both"/>
        <w:rPr>
          <w:sz w:val="26"/>
          <w:szCs w:val="26"/>
        </w:rPr>
      </w:pPr>
      <w:r w:rsidRPr="00FD73DC">
        <w:rPr>
          <w:sz w:val="26"/>
          <w:szCs w:val="26"/>
        </w:rPr>
        <w:t>Набор данных, содержащий общедоступную информацию, размещается оператором системы мониторинга на сайте системы мониторинга в сети «Интернет» не позднее 7 календарных дней со дня получения актуализированных данных и обновляется не реже одного раза в неделю.</w:t>
      </w:r>
    </w:p>
    <w:p w14:paraId="5E90BC21" w14:textId="22A4C026" w:rsidR="002376BA" w:rsidRPr="00FD73DC" w:rsidRDefault="002376BA" w:rsidP="002376BA">
      <w:pPr>
        <w:pStyle w:val="a3"/>
        <w:spacing w:after="0" w:line="180" w:lineRule="atLeast"/>
        <w:ind w:firstLine="540"/>
        <w:jc w:val="both"/>
        <w:rPr>
          <w:b/>
          <w:sz w:val="26"/>
          <w:szCs w:val="26"/>
        </w:rPr>
      </w:pPr>
      <w:r w:rsidRPr="00FD73DC">
        <w:rPr>
          <w:b/>
          <w:sz w:val="26"/>
          <w:szCs w:val="26"/>
        </w:rPr>
        <w:t>В Трудовом кодексе уточ</w:t>
      </w:r>
      <w:r w:rsidR="00FD73DC" w:rsidRPr="00FD73DC">
        <w:rPr>
          <w:b/>
          <w:sz w:val="26"/>
          <w:szCs w:val="26"/>
        </w:rPr>
        <w:t>нен</w:t>
      </w:r>
      <w:r w:rsidRPr="00FD73DC">
        <w:rPr>
          <w:b/>
          <w:sz w:val="26"/>
          <w:szCs w:val="26"/>
        </w:rPr>
        <w:t xml:space="preserve"> порядок оплаты сверхурочной работы</w:t>
      </w:r>
    </w:p>
    <w:p w14:paraId="19F9C52B" w14:textId="0FEA4C9B" w:rsidR="002376BA" w:rsidRPr="00FD73DC" w:rsidRDefault="002376BA" w:rsidP="002376BA">
      <w:pPr>
        <w:pStyle w:val="a3"/>
        <w:spacing w:before="0" w:beforeAutospacing="0" w:after="0" w:afterAutospacing="0" w:line="180" w:lineRule="atLeast"/>
        <w:ind w:firstLine="540"/>
        <w:jc w:val="both"/>
        <w:rPr>
          <w:sz w:val="26"/>
          <w:szCs w:val="26"/>
        </w:rPr>
      </w:pPr>
      <w:r w:rsidRPr="00FD73DC">
        <w:rPr>
          <w:sz w:val="26"/>
          <w:szCs w:val="26"/>
        </w:rPr>
        <w:t> Федеральным законом от 22.04.2024 № 91-ФЗ внесены изменения в статью 152 Трудового кодекса Российской Федерации.</w:t>
      </w:r>
    </w:p>
    <w:p w14:paraId="1034E191" w14:textId="77777777" w:rsidR="002376BA" w:rsidRPr="00FD73DC" w:rsidRDefault="002376BA" w:rsidP="002376BA">
      <w:pPr>
        <w:pStyle w:val="a3"/>
        <w:spacing w:before="0" w:beforeAutospacing="0" w:after="0" w:afterAutospacing="0" w:line="180" w:lineRule="atLeast"/>
        <w:ind w:firstLine="540"/>
        <w:jc w:val="both"/>
        <w:rPr>
          <w:sz w:val="26"/>
          <w:szCs w:val="26"/>
        </w:rPr>
      </w:pPr>
      <w:r w:rsidRPr="00FD73DC">
        <w:rPr>
          <w:sz w:val="26"/>
          <w:szCs w:val="26"/>
        </w:rPr>
        <w:t>Согласно закону сверхурочная работа должна оплачиваться исходя из зарплаты с учетом компенсационных и стимулирующих выплат.</w:t>
      </w:r>
    </w:p>
    <w:p w14:paraId="35B846C6" w14:textId="77777777" w:rsidR="002376BA" w:rsidRPr="00FD73DC" w:rsidRDefault="002376BA" w:rsidP="002376BA">
      <w:pPr>
        <w:pStyle w:val="a3"/>
        <w:spacing w:before="0" w:beforeAutospacing="0" w:after="0" w:afterAutospacing="0" w:line="180" w:lineRule="atLeast"/>
        <w:ind w:firstLine="540"/>
        <w:jc w:val="both"/>
        <w:rPr>
          <w:sz w:val="26"/>
          <w:szCs w:val="26"/>
        </w:rPr>
      </w:pPr>
      <w:r w:rsidRPr="00FD73DC">
        <w:rPr>
          <w:sz w:val="26"/>
          <w:szCs w:val="26"/>
        </w:rPr>
        <w:t>Сохранены минимальные размеры оплаты переработанных часов (за первые 2 часа работы не менее чем в полуторном размере, за последующие часы - не менее чем в двойном размере), а также возможность заменить повышенную оплату на дополнительное время отдыха.</w:t>
      </w:r>
    </w:p>
    <w:p w14:paraId="68437410" w14:textId="77777777" w:rsidR="002376BA" w:rsidRPr="00FD73DC" w:rsidRDefault="002376BA" w:rsidP="002376BA">
      <w:pPr>
        <w:pStyle w:val="a3"/>
        <w:spacing w:before="0" w:beforeAutospacing="0" w:after="0" w:afterAutospacing="0" w:line="180" w:lineRule="atLeast"/>
        <w:ind w:firstLine="540"/>
        <w:jc w:val="both"/>
        <w:rPr>
          <w:sz w:val="26"/>
          <w:szCs w:val="26"/>
        </w:rPr>
      </w:pPr>
      <w:r w:rsidRPr="00FD73DC">
        <w:rPr>
          <w:sz w:val="26"/>
          <w:szCs w:val="26"/>
        </w:rPr>
        <w:t>В случае если локальным нормативным актом или трудовым договором предусматривается оплата сверхурочной работы в более высоком размере, положения настоящего закона не являются основанием для пересмотра работодателем ранее установленных условий.</w:t>
      </w:r>
    </w:p>
    <w:p w14:paraId="5A4EA01D" w14:textId="2A899566" w:rsidR="00155336" w:rsidRPr="00FD73DC" w:rsidRDefault="002376BA" w:rsidP="002376BA">
      <w:pPr>
        <w:pStyle w:val="a3"/>
        <w:spacing w:before="0" w:beforeAutospacing="0" w:after="0" w:afterAutospacing="0" w:line="180" w:lineRule="atLeast"/>
        <w:ind w:firstLine="540"/>
        <w:jc w:val="both"/>
        <w:rPr>
          <w:sz w:val="26"/>
          <w:szCs w:val="26"/>
        </w:rPr>
      </w:pPr>
      <w:r w:rsidRPr="00FD73DC">
        <w:rPr>
          <w:sz w:val="26"/>
          <w:szCs w:val="26"/>
        </w:rPr>
        <w:t>Закон вступает в силу с 1 сентября 2024 года.</w:t>
      </w:r>
    </w:p>
    <w:p w14:paraId="72D3ED8B" w14:textId="3C04DFFE" w:rsidR="00155336" w:rsidRPr="00FD73DC" w:rsidRDefault="00155336" w:rsidP="00FD73DC">
      <w:pPr>
        <w:spacing w:before="105" w:after="0" w:line="180" w:lineRule="atLeast"/>
        <w:jc w:val="both"/>
        <w:rPr>
          <w:rFonts w:ascii="Times New Roman" w:eastAsia="Times New Roman" w:hAnsi="Times New Roman" w:cs="Times New Roman"/>
          <w:sz w:val="26"/>
          <w:szCs w:val="26"/>
          <w:lang w:eastAsia="ru-RU"/>
        </w:rPr>
      </w:pPr>
    </w:p>
    <w:p w14:paraId="5C62B9A4" w14:textId="06ABEC90" w:rsidR="00F960FF" w:rsidRPr="00FD73DC" w:rsidRDefault="00FD73DC" w:rsidP="00F960FF">
      <w:pPr>
        <w:spacing w:after="0" w:line="180" w:lineRule="atLeast"/>
        <w:ind w:firstLine="708"/>
        <w:jc w:val="both"/>
        <w:rPr>
          <w:rFonts w:ascii="Times New Roman" w:eastAsia="Times New Roman" w:hAnsi="Times New Roman" w:cs="Times New Roman"/>
          <w:b/>
          <w:sz w:val="26"/>
          <w:szCs w:val="26"/>
          <w:lang w:eastAsia="ru-RU"/>
        </w:rPr>
      </w:pPr>
      <w:r w:rsidRPr="00FD73DC">
        <w:rPr>
          <w:rFonts w:ascii="Times New Roman" w:eastAsia="Times New Roman" w:hAnsi="Times New Roman" w:cs="Times New Roman"/>
          <w:b/>
          <w:sz w:val="26"/>
          <w:szCs w:val="26"/>
          <w:lang w:eastAsia="ru-RU"/>
        </w:rPr>
        <w:t xml:space="preserve">Приказом </w:t>
      </w:r>
      <w:proofErr w:type="spellStart"/>
      <w:r w:rsidRPr="00FD73DC">
        <w:rPr>
          <w:rFonts w:ascii="Times New Roman" w:eastAsia="Times New Roman" w:hAnsi="Times New Roman" w:cs="Times New Roman"/>
          <w:b/>
          <w:sz w:val="26"/>
          <w:szCs w:val="26"/>
          <w:lang w:eastAsia="ru-RU"/>
        </w:rPr>
        <w:t>Минпросвещения</w:t>
      </w:r>
      <w:proofErr w:type="spellEnd"/>
      <w:r w:rsidRPr="00FD73DC">
        <w:rPr>
          <w:rFonts w:ascii="Times New Roman" w:eastAsia="Times New Roman" w:hAnsi="Times New Roman" w:cs="Times New Roman"/>
          <w:b/>
          <w:sz w:val="26"/>
          <w:szCs w:val="26"/>
          <w:lang w:eastAsia="ru-RU"/>
        </w:rPr>
        <w:t xml:space="preserve"> России № 243, Рособрнадзором № 802 от 12.04.2024 внесены изменения в Порядок проведения государственной итоговой аттестации</w:t>
      </w:r>
    </w:p>
    <w:p w14:paraId="0C9EFABA" w14:textId="77777777" w:rsidR="00FD73DC" w:rsidRPr="00FD73DC" w:rsidRDefault="00FD73DC" w:rsidP="00F960FF">
      <w:pPr>
        <w:spacing w:after="0" w:line="180" w:lineRule="atLeast"/>
        <w:ind w:firstLine="708"/>
        <w:jc w:val="both"/>
        <w:rPr>
          <w:rFonts w:ascii="Times New Roman" w:eastAsia="Times New Roman" w:hAnsi="Times New Roman" w:cs="Times New Roman"/>
          <w:b/>
          <w:bCs/>
          <w:sz w:val="26"/>
          <w:szCs w:val="26"/>
          <w:lang w:eastAsia="ru-RU"/>
        </w:rPr>
      </w:pPr>
    </w:p>
    <w:p w14:paraId="44539F68" w14:textId="61FC52A3" w:rsidR="00F960FF" w:rsidRPr="00FD73DC" w:rsidRDefault="00F960FF" w:rsidP="00FD73DC">
      <w:pPr>
        <w:spacing w:after="0" w:line="180" w:lineRule="atLeast"/>
        <w:ind w:firstLine="708"/>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 xml:space="preserve">Приказом </w:t>
      </w:r>
      <w:proofErr w:type="spellStart"/>
      <w:r w:rsidRPr="00FD73DC">
        <w:rPr>
          <w:rFonts w:ascii="Times New Roman" w:eastAsia="Times New Roman" w:hAnsi="Times New Roman" w:cs="Times New Roman"/>
          <w:sz w:val="26"/>
          <w:szCs w:val="26"/>
          <w:lang w:eastAsia="ru-RU"/>
        </w:rPr>
        <w:t>Минпросвещения</w:t>
      </w:r>
      <w:proofErr w:type="spellEnd"/>
      <w:r w:rsidRPr="00FD73DC">
        <w:rPr>
          <w:rFonts w:ascii="Times New Roman" w:eastAsia="Times New Roman" w:hAnsi="Times New Roman" w:cs="Times New Roman"/>
          <w:sz w:val="26"/>
          <w:szCs w:val="26"/>
          <w:lang w:eastAsia="ru-RU"/>
        </w:rPr>
        <w:t xml:space="preserve"> России № 243, Рособрнадзором № 802 от 12.04.2024 внесены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w:t>
      </w:r>
    </w:p>
    <w:p w14:paraId="7198809B" w14:textId="74E3056A" w:rsidR="00F960FF" w:rsidRPr="00FD73DC" w:rsidRDefault="00F960FF" w:rsidP="00F960FF">
      <w:pPr>
        <w:spacing w:after="0" w:line="180" w:lineRule="atLeast"/>
        <w:ind w:firstLine="708"/>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Предусмотрено, что участники экзаменов вправе в дополнительные дни по своему желанию один раз пересдать ЕГЭ по одному учебному предмету по своему выбору из числа предметов, сданных в текущем году (году сдачи экзамена). Для этого необходимо подать в государственную экзаменационную комиссию заявление с указанием пересдаваемого учебного предмета.</w:t>
      </w:r>
    </w:p>
    <w:p w14:paraId="028AB5DF" w14:textId="77777777" w:rsidR="00F960FF" w:rsidRPr="00FD73DC" w:rsidRDefault="00F960FF" w:rsidP="00F960FF">
      <w:pPr>
        <w:spacing w:before="105" w:after="0" w:line="180" w:lineRule="atLeast"/>
        <w:ind w:firstLine="708"/>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В указанном случае предыдущий результат ЕГЭ по пересдаваемому учебному предмету будет аннулирован.</w:t>
      </w:r>
    </w:p>
    <w:p w14:paraId="1E6FCD5B" w14:textId="571721D6" w:rsidR="00F960FF" w:rsidRPr="00FD73DC" w:rsidRDefault="00F960FF" w:rsidP="00F960FF">
      <w:pPr>
        <w:spacing w:before="105" w:after="0" w:line="180" w:lineRule="atLeast"/>
        <w:ind w:firstLine="708"/>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Настоящий приказ действует до 1 сентября 2029 года.</w:t>
      </w:r>
    </w:p>
    <w:p w14:paraId="79F3C0F4" w14:textId="44754DD0" w:rsidR="00F960FF" w:rsidRPr="00FD73DC" w:rsidRDefault="00F960FF" w:rsidP="00F960FF">
      <w:pPr>
        <w:spacing w:before="105" w:after="0" w:line="180" w:lineRule="atLeast"/>
        <w:ind w:firstLine="708"/>
        <w:jc w:val="both"/>
        <w:rPr>
          <w:rFonts w:ascii="Times New Roman" w:eastAsia="Times New Roman" w:hAnsi="Times New Roman" w:cs="Times New Roman"/>
          <w:bCs/>
          <w:sz w:val="26"/>
          <w:szCs w:val="26"/>
          <w:lang w:eastAsia="ru-RU"/>
        </w:rPr>
      </w:pPr>
      <w:r w:rsidRPr="00FD73DC">
        <w:rPr>
          <w:rFonts w:ascii="Times New Roman" w:eastAsia="Times New Roman" w:hAnsi="Times New Roman" w:cs="Times New Roman"/>
          <w:sz w:val="26"/>
          <w:szCs w:val="26"/>
          <w:lang w:eastAsia="ru-RU"/>
        </w:rPr>
        <w:t xml:space="preserve">Кроме того, </w:t>
      </w:r>
      <w:r w:rsidRPr="00FD73DC">
        <w:rPr>
          <w:rFonts w:ascii="Times New Roman" w:eastAsia="Times New Roman" w:hAnsi="Times New Roman" w:cs="Times New Roman"/>
          <w:bCs/>
          <w:sz w:val="26"/>
          <w:szCs w:val="26"/>
          <w:lang w:eastAsia="ru-RU"/>
        </w:rPr>
        <w:t>скорректировано расписание проведения ЕГЭ в 2024 году с учетом закрепленной возможности пересдать один из предметов.</w:t>
      </w:r>
    </w:p>
    <w:p w14:paraId="0065DA8D" w14:textId="5F57C4D3" w:rsidR="00F960FF" w:rsidRPr="00FD73DC" w:rsidRDefault="00F960FF" w:rsidP="00F960FF">
      <w:pPr>
        <w:spacing w:before="105" w:after="0" w:line="180" w:lineRule="atLeast"/>
        <w:ind w:firstLine="708"/>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 xml:space="preserve">Приказом </w:t>
      </w:r>
      <w:proofErr w:type="spellStart"/>
      <w:r w:rsidRPr="00FD73DC">
        <w:rPr>
          <w:rFonts w:ascii="Times New Roman" w:eastAsia="Times New Roman" w:hAnsi="Times New Roman" w:cs="Times New Roman"/>
          <w:sz w:val="26"/>
          <w:szCs w:val="26"/>
          <w:lang w:eastAsia="ru-RU"/>
        </w:rPr>
        <w:t>Минпросвещения</w:t>
      </w:r>
      <w:proofErr w:type="spellEnd"/>
      <w:r w:rsidRPr="00FD73DC">
        <w:rPr>
          <w:rFonts w:ascii="Times New Roman" w:eastAsia="Times New Roman" w:hAnsi="Times New Roman" w:cs="Times New Roman"/>
          <w:sz w:val="26"/>
          <w:szCs w:val="26"/>
          <w:lang w:eastAsia="ru-RU"/>
        </w:rPr>
        <w:t xml:space="preserve"> России N 244, Рособрнадзора № 803 от 12.04.2024 «О внесении изменений в приказы Министерства просвещения Российской </w:t>
      </w:r>
      <w:r w:rsidRPr="00FD73DC">
        <w:rPr>
          <w:rFonts w:ascii="Times New Roman" w:eastAsia="Times New Roman" w:hAnsi="Times New Roman" w:cs="Times New Roman"/>
          <w:sz w:val="26"/>
          <w:szCs w:val="26"/>
          <w:lang w:eastAsia="ru-RU"/>
        </w:rPr>
        <w:lastRenderedPageBreak/>
        <w:t>Федерации и Федеральной службы по надзору в сфере образования и науки от 18 декабря 2023 г. N 953/2116, N 954/2117 и № 955/2118» в качестве дополнительных дней для пересдачи ЕГЭ установлены следующие:</w:t>
      </w:r>
    </w:p>
    <w:p w14:paraId="5E7DFE61" w14:textId="77777777" w:rsidR="00F960FF" w:rsidRPr="00FD73DC" w:rsidRDefault="00F960FF" w:rsidP="00F960FF">
      <w:pPr>
        <w:spacing w:before="105" w:after="0" w:line="180" w:lineRule="atLeast"/>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4 июля (четверг) - для пересдачи письменной части иностранных языков (английского, испанского, китайского, немецкого, французского), информатики, обществознания, русского языка, физики, химии;</w:t>
      </w:r>
    </w:p>
    <w:p w14:paraId="2294C10F" w14:textId="77777777" w:rsidR="00F960FF" w:rsidRPr="00FD73DC" w:rsidRDefault="00F960FF" w:rsidP="00F960FF">
      <w:pPr>
        <w:spacing w:before="105" w:after="0" w:line="180" w:lineRule="atLeast"/>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5 июля (пятница) - для пересдачи биологии, географии, ЕГЭ по математике базового уровня, ЕГЭ по математике профильного уровня, устной части иностранных языков (английского, испанского, китайского, немецкого, французского), истории, литературы.</w:t>
      </w:r>
    </w:p>
    <w:p w14:paraId="2211F728" w14:textId="77777777" w:rsidR="00F960FF" w:rsidRPr="00FD73DC" w:rsidRDefault="00F960FF" w:rsidP="00155336">
      <w:pPr>
        <w:spacing w:before="105" w:after="0" w:line="180" w:lineRule="atLeast"/>
        <w:ind w:firstLine="540"/>
        <w:jc w:val="both"/>
        <w:rPr>
          <w:rFonts w:ascii="Times New Roman" w:eastAsia="Times New Roman" w:hAnsi="Times New Roman" w:cs="Times New Roman"/>
          <w:sz w:val="26"/>
          <w:szCs w:val="26"/>
          <w:lang w:eastAsia="ru-RU"/>
        </w:rPr>
      </w:pPr>
    </w:p>
    <w:p w14:paraId="6637CF37" w14:textId="6603952B" w:rsidR="00F960FF" w:rsidRPr="00FD73DC" w:rsidRDefault="00F960FF" w:rsidP="00FD73DC">
      <w:pPr>
        <w:spacing w:before="105" w:after="0" w:line="180" w:lineRule="atLeast"/>
        <w:ind w:firstLine="708"/>
        <w:jc w:val="both"/>
        <w:rPr>
          <w:rFonts w:ascii="Times New Roman" w:eastAsia="Times New Roman" w:hAnsi="Times New Roman" w:cs="Times New Roman"/>
          <w:b/>
          <w:bCs/>
          <w:sz w:val="26"/>
          <w:szCs w:val="26"/>
          <w:lang w:eastAsia="ru-RU"/>
        </w:rPr>
      </w:pPr>
      <w:r w:rsidRPr="00FD73DC">
        <w:rPr>
          <w:rFonts w:ascii="Times New Roman" w:eastAsia="Times New Roman" w:hAnsi="Times New Roman" w:cs="Times New Roman"/>
          <w:b/>
          <w:bCs/>
          <w:sz w:val="26"/>
          <w:szCs w:val="26"/>
          <w:lang w:eastAsia="ru-RU"/>
        </w:rPr>
        <w:t xml:space="preserve">Распоряжением Правительства РФ от 17.04.2024 № 959-р «Об утверждении стратегического направления в области цифровой трансформации здравоохранения» определено стратегическое направление в области цифровой трансформации здравоохранения на период до 2030 года </w:t>
      </w:r>
      <w:bookmarkStart w:id="0" w:name="_GoBack"/>
      <w:bookmarkEnd w:id="0"/>
    </w:p>
    <w:p w14:paraId="1429595B" w14:textId="2AF81170" w:rsidR="00F960FF" w:rsidRPr="00FD73DC" w:rsidRDefault="00F960FF" w:rsidP="00F960FF">
      <w:pPr>
        <w:spacing w:before="105" w:after="0" w:line="180" w:lineRule="atLeast"/>
        <w:ind w:firstLine="708"/>
        <w:jc w:val="both"/>
        <w:rPr>
          <w:rFonts w:ascii="Times New Roman" w:eastAsia="Times New Roman" w:hAnsi="Times New Roman" w:cs="Times New Roman"/>
          <w:sz w:val="26"/>
          <w:szCs w:val="26"/>
          <w:lang w:eastAsia="ru-RU"/>
        </w:rPr>
      </w:pPr>
      <w:r w:rsidRPr="00FD73DC">
        <w:rPr>
          <w:rFonts w:ascii="Times New Roman" w:eastAsia="Times New Roman" w:hAnsi="Times New Roman" w:cs="Times New Roman"/>
          <w:sz w:val="26"/>
          <w:szCs w:val="26"/>
          <w:lang w:eastAsia="ru-RU"/>
        </w:rPr>
        <w:t>Приоритетами стратегического направления являются: осуществление цифровой трансформации на основе отечественных информационно-коммуникационных технологий; обеспечение устойчивого и бесперебойного функционирования информационной инфраструктуры; внедрение в медицинских организациях типовых защищенных автоматизированных рабочих мест с возможностью централизованного управления конфигурациями прикладного и общесистемного программного обеспечения, использования доверенных дистрибутивов.</w:t>
      </w:r>
    </w:p>
    <w:p w14:paraId="4AE26995" w14:textId="6AF94B23" w:rsidR="00490905" w:rsidRDefault="00490905" w:rsidP="00490905">
      <w:pPr>
        <w:spacing w:before="105" w:after="0" w:line="180" w:lineRule="atLeast"/>
        <w:ind w:firstLine="708"/>
        <w:jc w:val="both"/>
        <w:rPr>
          <w:rFonts w:ascii="Times New Roman" w:eastAsia="Times New Roman" w:hAnsi="Times New Roman" w:cs="Times New Roman"/>
          <w:sz w:val="24"/>
          <w:szCs w:val="24"/>
          <w:lang w:eastAsia="ru-RU"/>
        </w:rPr>
      </w:pPr>
    </w:p>
    <w:p w14:paraId="78C46351" w14:textId="77777777" w:rsidR="00490905" w:rsidRPr="00F84D67" w:rsidRDefault="00490905" w:rsidP="00490905">
      <w:pPr>
        <w:spacing w:before="105" w:after="0" w:line="180" w:lineRule="atLeast"/>
        <w:ind w:firstLine="708"/>
        <w:jc w:val="both"/>
        <w:rPr>
          <w:rFonts w:ascii="Times New Roman" w:eastAsia="Times New Roman" w:hAnsi="Times New Roman" w:cs="Times New Roman"/>
          <w:sz w:val="24"/>
          <w:szCs w:val="24"/>
          <w:lang w:eastAsia="ru-RU"/>
        </w:rPr>
      </w:pPr>
    </w:p>
    <w:p w14:paraId="5797311E" w14:textId="77777777" w:rsidR="00F960FF" w:rsidRPr="00F960FF" w:rsidRDefault="00F960FF" w:rsidP="00F960FF">
      <w:pPr>
        <w:spacing w:before="105" w:after="0" w:line="180" w:lineRule="atLeast"/>
        <w:ind w:firstLine="708"/>
        <w:jc w:val="both"/>
        <w:rPr>
          <w:rFonts w:ascii="Times New Roman" w:eastAsia="Times New Roman" w:hAnsi="Times New Roman" w:cs="Times New Roman"/>
          <w:sz w:val="24"/>
          <w:szCs w:val="24"/>
          <w:lang w:eastAsia="ru-RU"/>
        </w:rPr>
      </w:pPr>
    </w:p>
    <w:p w14:paraId="6E33732B" w14:textId="46D62052" w:rsidR="00155336" w:rsidRDefault="00155336" w:rsidP="00155336">
      <w:pPr>
        <w:spacing w:before="105" w:after="0" w:line="180" w:lineRule="atLeast"/>
        <w:ind w:firstLine="540"/>
        <w:jc w:val="both"/>
        <w:rPr>
          <w:rFonts w:ascii="Times New Roman" w:eastAsia="Times New Roman" w:hAnsi="Times New Roman" w:cs="Times New Roman"/>
          <w:sz w:val="24"/>
          <w:szCs w:val="24"/>
          <w:lang w:eastAsia="ru-RU"/>
        </w:rPr>
      </w:pPr>
    </w:p>
    <w:p w14:paraId="1FA2D29E" w14:textId="4476AF4C" w:rsidR="00155336" w:rsidRDefault="00155336" w:rsidP="00155336">
      <w:pPr>
        <w:spacing w:before="105" w:after="0" w:line="180" w:lineRule="atLeast"/>
        <w:ind w:firstLine="540"/>
        <w:jc w:val="both"/>
        <w:rPr>
          <w:rFonts w:ascii="Times New Roman" w:eastAsia="Times New Roman" w:hAnsi="Times New Roman" w:cs="Times New Roman"/>
          <w:sz w:val="24"/>
          <w:szCs w:val="24"/>
          <w:lang w:eastAsia="ru-RU"/>
        </w:rPr>
      </w:pPr>
    </w:p>
    <w:p w14:paraId="182FBD6B" w14:textId="7A827E4B" w:rsidR="00155336" w:rsidRDefault="00155336" w:rsidP="00155336">
      <w:pPr>
        <w:spacing w:before="105" w:after="0" w:line="180" w:lineRule="atLeast"/>
        <w:ind w:firstLine="540"/>
        <w:jc w:val="both"/>
        <w:rPr>
          <w:rFonts w:ascii="Times New Roman" w:eastAsia="Times New Roman" w:hAnsi="Times New Roman" w:cs="Times New Roman"/>
          <w:sz w:val="24"/>
          <w:szCs w:val="24"/>
          <w:lang w:eastAsia="ru-RU"/>
        </w:rPr>
      </w:pPr>
    </w:p>
    <w:p w14:paraId="7B340DEF" w14:textId="77777777" w:rsidR="00155336" w:rsidRPr="00155336" w:rsidRDefault="00155336" w:rsidP="00155336">
      <w:pPr>
        <w:spacing w:before="105" w:after="0" w:line="180" w:lineRule="atLeast"/>
        <w:ind w:firstLine="540"/>
        <w:jc w:val="both"/>
        <w:rPr>
          <w:rFonts w:ascii="Times New Roman" w:eastAsia="Times New Roman" w:hAnsi="Times New Roman" w:cs="Times New Roman"/>
          <w:sz w:val="24"/>
          <w:szCs w:val="24"/>
          <w:lang w:eastAsia="ru-RU"/>
        </w:rPr>
      </w:pPr>
    </w:p>
    <w:p w14:paraId="3A8545AC" w14:textId="25CE9BE5" w:rsidR="00D33F0D" w:rsidRDefault="00D33F0D" w:rsidP="00BD0CD5">
      <w:pPr>
        <w:pStyle w:val="a3"/>
        <w:spacing w:before="0" w:beforeAutospacing="0" w:after="0" w:afterAutospacing="0" w:line="180" w:lineRule="atLeast"/>
        <w:ind w:firstLine="540"/>
        <w:jc w:val="both"/>
      </w:pPr>
    </w:p>
    <w:p w14:paraId="023F73D1" w14:textId="77777777" w:rsidR="00D33F0D" w:rsidRDefault="00D33F0D" w:rsidP="00BD0CD5">
      <w:pPr>
        <w:pStyle w:val="a3"/>
        <w:spacing w:before="0" w:beforeAutospacing="0" w:after="0" w:afterAutospacing="0" w:line="180" w:lineRule="atLeast"/>
        <w:ind w:firstLine="540"/>
        <w:jc w:val="both"/>
      </w:pPr>
    </w:p>
    <w:p w14:paraId="7314AFD2" w14:textId="625BD0CC" w:rsidR="00BD0CD5" w:rsidRDefault="00BD0CD5" w:rsidP="00BD0CD5">
      <w:pPr>
        <w:jc w:val="both"/>
        <w:rPr>
          <w:rFonts w:ascii="Times New Roman" w:eastAsia="Times New Roman" w:hAnsi="Times New Roman" w:cs="Times New Roman"/>
          <w:sz w:val="24"/>
          <w:szCs w:val="24"/>
          <w:lang w:eastAsia="ru-RU"/>
        </w:rPr>
      </w:pPr>
    </w:p>
    <w:p w14:paraId="57ADE7EC" w14:textId="77777777" w:rsidR="00BD0CD5" w:rsidRPr="00BD0CD5" w:rsidRDefault="00BD0CD5" w:rsidP="00BD0CD5">
      <w:pPr>
        <w:jc w:val="both"/>
        <w:rPr>
          <w:rFonts w:ascii="Times New Roman" w:eastAsia="Times New Roman" w:hAnsi="Times New Roman" w:cs="Times New Roman"/>
          <w:sz w:val="24"/>
          <w:szCs w:val="24"/>
          <w:lang w:eastAsia="ru-RU"/>
        </w:rPr>
      </w:pPr>
    </w:p>
    <w:sectPr w:rsidR="00BD0CD5" w:rsidRPr="00BD0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13"/>
    <w:rsid w:val="00155336"/>
    <w:rsid w:val="002376BA"/>
    <w:rsid w:val="002605F8"/>
    <w:rsid w:val="00366EC7"/>
    <w:rsid w:val="00490905"/>
    <w:rsid w:val="00574513"/>
    <w:rsid w:val="009721E6"/>
    <w:rsid w:val="00BB7A9B"/>
    <w:rsid w:val="00BD0CD5"/>
    <w:rsid w:val="00D33F0D"/>
    <w:rsid w:val="00E61704"/>
    <w:rsid w:val="00F84D67"/>
    <w:rsid w:val="00F960FF"/>
    <w:rsid w:val="00FD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276E"/>
  <w15:chartTrackingRefBased/>
  <w15:docId w15:val="{406C772A-A95B-4552-A12E-69512815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7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408">
      <w:bodyDiv w:val="1"/>
      <w:marLeft w:val="0"/>
      <w:marRight w:val="0"/>
      <w:marTop w:val="0"/>
      <w:marBottom w:val="0"/>
      <w:divBdr>
        <w:top w:val="none" w:sz="0" w:space="0" w:color="auto"/>
        <w:left w:val="none" w:sz="0" w:space="0" w:color="auto"/>
        <w:bottom w:val="none" w:sz="0" w:space="0" w:color="auto"/>
        <w:right w:val="none" w:sz="0" w:space="0" w:color="auto"/>
      </w:divBdr>
      <w:divsChild>
        <w:div w:id="2073578481">
          <w:marLeft w:val="0"/>
          <w:marRight w:val="0"/>
          <w:marTop w:val="0"/>
          <w:marBottom w:val="0"/>
          <w:divBdr>
            <w:top w:val="none" w:sz="0" w:space="0" w:color="auto"/>
            <w:left w:val="none" w:sz="0" w:space="0" w:color="auto"/>
            <w:bottom w:val="none" w:sz="0" w:space="0" w:color="auto"/>
            <w:right w:val="none" w:sz="0" w:space="0" w:color="auto"/>
          </w:divBdr>
        </w:div>
      </w:divsChild>
    </w:div>
    <w:div w:id="63112901">
      <w:bodyDiv w:val="1"/>
      <w:marLeft w:val="0"/>
      <w:marRight w:val="0"/>
      <w:marTop w:val="0"/>
      <w:marBottom w:val="0"/>
      <w:divBdr>
        <w:top w:val="none" w:sz="0" w:space="0" w:color="auto"/>
        <w:left w:val="none" w:sz="0" w:space="0" w:color="auto"/>
        <w:bottom w:val="none" w:sz="0" w:space="0" w:color="auto"/>
        <w:right w:val="none" w:sz="0" w:space="0" w:color="auto"/>
      </w:divBdr>
    </w:div>
    <w:div w:id="104662250">
      <w:bodyDiv w:val="1"/>
      <w:marLeft w:val="0"/>
      <w:marRight w:val="0"/>
      <w:marTop w:val="0"/>
      <w:marBottom w:val="0"/>
      <w:divBdr>
        <w:top w:val="none" w:sz="0" w:space="0" w:color="auto"/>
        <w:left w:val="none" w:sz="0" w:space="0" w:color="auto"/>
        <w:bottom w:val="none" w:sz="0" w:space="0" w:color="auto"/>
        <w:right w:val="none" w:sz="0" w:space="0" w:color="auto"/>
      </w:divBdr>
    </w:div>
    <w:div w:id="238248437">
      <w:bodyDiv w:val="1"/>
      <w:marLeft w:val="0"/>
      <w:marRight w:val="0"/>
      <w:marTop w:val="0"/>
      <w:marBottom w:val="0"/>
      <w:divBdr>
        <w:top w:val="none" w:sz="0" w:space="0" w:color="auto"/>
        <w:left w:val="none" w:sz="0" w:space="0" w:color="auto"/>
        <w:bottom w:val="none" w:sz="0" w:space="0" w:color="auto"/>
        <w:right w:val="none" w:sz="0" w:space="0" w:color="auto"/>
      </w:divBdr>
      <w:divsChild>
        <w:div w:id="1605963981">
          <w:marLeft w:val="0"/>
          <w:marRight w:val="0"/>
          <w:marTop w:val="0"/>
          <w:marBottom w:val="0"/>
          <w:divBdr>
            <w:top w:val="none" w:sz="0" w:space="0" w:color="auto"/>
            <w:left w:val="none" w:sz="0" w:space="0" w:color="auto"/>
            <w:bottom w:val="none" w:sz="0" w:space="0" w:color="auto"/>
            <w:right w:val="none" w:sz="0" w:space="0" w:color="auto"/>
          </w:divBdr>
        </w:div>
        <w:div w:id="517548717">
          <w:marLeft w:val="0"/>
          <w:marRight w:val="0"/>
          <w:marTop w:val="0"/>
          <w:marBottom w:val="0"/>
          <w:divBdr>
            <w:top w:val="none" w:sz="0" w:space="0" w:color="auto"/>
            <w:left w:val="none" w:sz="0" w:space="0" w:color="auto"/>
            <w:bottom w:val="none" w:sz="0" w:space="0" w:color="auto"/>
            <w:right w:val="none" w:sz="0" w:space="0" w:color="auto"/>
          </w:divBdr>
        </w:div>
        <w:div w:id="2123912507">
          <w:marLeft w:val="0"/>
          <w:marRight w:val="0"/>
          <w:marTop w:val="0"/>
          <w:marBottom w:val="0"/>
          <w:divBdr>
            <w:top w:val="none" w:sz="0" w:space="0" w:color="auto"/>
            <w:left w:val="none" w:sz="0" w:space="0" w:color="auto"/>
            <w:bottom w:val="none" w:sz="0" w:space="0" w:color="auto"/>
            <w:right w:val="none" w:sz="0" w:space="0" w:color="auto"/>
          </w:divBdr>
        </w:div>
      </w:divsChild>
    </w:div>
    <w:div w:id="290062649">
      <w:bodyDiv w:val="1"/>
      <w:marLeft w:val="0"/>
      <w:marRight w:val="0"/>
      <w:marTop w:val="0"/>
      <w:marBottom w:val="0"/>
      <w:divBdr>
        <w:top w:val="none" w:sz="0" w:space="0" w:color="auto"/>
        <w:left w:val="none" w:sz="0" w:space="0" w:color="auto"/>
        <w:bottom w:val="none" w:sz="0" w:space="0" w:color="auto"/>
        <w:right w:val="none" w:sz="0" w:space="0" w:color="auto"/>
      </w:divBdr>
    </w:div>
    <w:div w:id="346759178">
      <w:bodyDiv w:val="1"/>
      <w:marLeft w:val="0"/>
      <w:marRight w:val="0"/>
      <w:marTop w:val="0"/>
      <w:marBottom w:val="0"/>
      <w:divBdr>
        <w:top w:val="none" w:sz="0" w:space="0" w:color="auto"/>
        <w:left w:val="none" w:sz="0" w:space="0" w:color="auto"/>
        <w:bottom w:val="none" w:sz="0" w:space="0" w:color="auto"/>
        <w:right w:val="none" w:sz="0" w:space="0" w:color="auto"/>
      </w:divBdr>
      <w:divsChild>
        <w:div w:id="1108425799">
          <w:marLeft w:val="0"/>
          <w:marRight w:val="0"/>
          <w:marTop w:val="0"/>
          <w:marBottom w:val="0"/>
          <w:divBdr>
            <w:top w:val="none" w:sz="0" w:space="0" w:color="auto"/>
            <w:left w:val="none" w:sz="0" w:space="0" w:color="auto"/>
            <w:bottom w:val="none" w:sz="0" w:space="0" w:color="auto"/>
            <w:right w:val="none" w:sz="0" w:space="0" w:color="auto"/>
          </w:divBdr>
        </w:div>
      </w:divsChild>
    </w:div>
    <w:div w:id="348681039">
      <w:bodyDiv w:val="1"/>
      <w:marLeft w:val="0"/>
      <w:marRight w:val="0"/>
      <w:marTop w:val="0"/>
      <w:marBottom w:val="0"/>
      <w:divBdr>
        <w:top w:val="none" w:sz="0" w:space="0" w:color="auto"/>
        <w:left w:val="none" w:sz="0" w:space="0" w:color="auto"/>
        <w:bottom w:val="none" w:sz="0" w:space="0" w:color="auto"/>
        <w:right w:val="none" w:sz="0" w:space="0" w:color="auto"/>
      </w:divBdr>
    </w:div>
    <w:div w:id="391975414">
      <w:bodyDiv w:val="1"/>
      <w:marLeft w:val="0"/>
      <w:marRight w:val="0"/>
      <w:marTop w:val="0"/>
      <w:marBottom w:val="0"/>
      <w:divBdr>
        <w:top w:val="none" w:sz="0" w:space="0" w:color="auto"/>
        <w:left w:val="none" w:sz="0" w:space="0" w:color="auto"/>
        <w:bottom w:val="none" w:sz="0" w:space="0" w:color="auto"/>
        <w:right w:val="none" w:sz="0" w:space="0" w:color="auto"/>
      </w:divBdr>
    </w:div>
    <w:div w:id="510679033">
      <w:bodyDiv w:val="1"/>
      <w:marLeft w:val="0"/>
      <w:marRight w:val="0"/>
      <w:marTop w:val="0"/>
      <w:marBottom w:val="0"/>
      <w:divBdr>
        <w:top w:val="none" w:sz="0" w:space="0" w:color="auto"/>
        <w:left w:val="none" w:sz="0" w:space="0" w:color="auto"/>
        <w:bottom w:val="none" w:sz="0" w:space="0" w:color="auto"/>
        <w:right w:val="none" w:sz="0" w:space="0" w:color="auto"/>
      </w:divBdr>
      <w:divsChild>
        <w:div w:id="468713540">
          <w:marLeft w:val="0"/>
          <w:marRight w:val="0"/>
          <w:marTop w:val="0"/>
          <w:marBottom w:val="0"/>
          <w:divBdr>
            <w:top w:val="none" w:sz="0" w:space="0" w:color="auto"/>
            <w:left w:val="none" w:sz="0" w:space="0" w:color="auto"/>
            <w:bottom w:val="none" w:sz="0" w:space="0" w:color="auto"/>
            <w:right w:val="none" w:sz="0" w:space="0" w:color="auto"/>
          </w:divBdr>
        </w:div>
        <w:div w:id="611935984">
          <w:marLeft w:val="0"/>
          <w:marRight w:val="0"/>
          <w:marTop w:val="0"/>
          <w:marBottom w:val="0"/>
          <w:divBdr>
            <w:top w:val="none" w:sz="0" w:space="0" w:color="auto"/>
            <w:left w:val="none" w:sz="0" w:space="0" w:color="auto"/>
            <w:bottom w:val="none" w:sz="0" w:space="0" w:color="auto"/>
            <w:right w:val="none" w:sz="0" w:space="0" w:color="auto"/>
          </w:divBdr>
        </w:div>
      </w:divsChild>
    </w:div>
    <w:div w:id="582182187">
      <w:bodyDiv w:val="1"/>
      <w:marLeft w:val="0"/>
      <w:marRight w:val="0"/>
      <w:marTop w:val="0"/>
      <w:marBottom w:val="0"/>
      <w:divBdr>
        <w:top w:val="none" w:sz="0" w:space="0" w:color="auto"/>
        <w:left w:val="none" w:sz="0" w:space="0" w:color="auto"/>
        <w:bottom w:val="none" w:sz="0" w:space="0" w:color="auto"/>
        <w:right w:val="none" w:sz="0" w:space="0" w:color="auto"/>
      </w:divBdr>
    </w:div>
    <w:div w:id="603612789">
      <w:bodyDiv w:val="1"/>
      <w:marLeft w:val="0"/>
      <w:marRight w:val="0"/>
      <w:marTop w:val="0"/>
      <w:marBottom w:val="0"/>
      <w:divBdr>
        <w:top w:val="none" w:sz="0" w:space="0" w:color="auto"/>
        <w:left w:val="none" w:sz="0" w:space="0" w:color="auto"/>
        <w:bottom w:val="none" w:sz="0" w:space="0" w:color="auto"/>
        <w:right w:val="none" w:sz="0" w:space="0" w:color="auto"/>
      </w:divBdr>
      <w:divsChild>
        <w:div w:id="111020463">
          <w:marLeft w:val="0"/>
          <w:marRight w:val="0"/>
          <w:marTop w:val="0"/>
          <w:marBottom w:val="0"/>
          <w:divBdr>
            <w:top w:val="none" w:sz="0" w:space="0" w:color="auto"/>
            <w:left w:val="none" w:sz="0" w:space="0" w:color="auto"/>
            <w:bottom w:val="none" w:sz="0" w:space="0" w:color="auto"/>
            <w:right w:val="none" w:sz="0" w:space="0" w:color="auto"/>
          </w:divBdr>
        </w:div>
        <w:div w:id="1227303753">
          <w:marLeft w:val="0"/>
          <w:marRight w:val="0"/>
          <w:marTop w:val="0"/>
          <w:marBottom w:val="0"/>
          <w:divBdr>
            <w:top w:val="none" w:sz="0" w:space="0" w:color="auto"/>
            <w:left w:val="none" w:sz="0" w:space="0" w:color="auto"/>
            <w:bottom w:val="none" w:sz="0" w:space="0" w:color="auto"/>
            <w:right w:val="none" w:sz="0" w:space="0" w:color="auto"/>
          </w:divBdr>
        </w:div>
      </w:divsChild>
    </w:div>
    <w:div w:id="709963544">
      <w:bodyDiv w:val="1"/>
      <w:marLeft w:val="0"/>
      <w:marRight w:val="0"/>
      <w:marTop w:val="0"/>
      <w:marBottom w:val="0"/>
      <w:divBdr>
        <w:top w:val="none" w:sz="0" w:space="0" w:color="auto"/>
        <w:left w:val="none" w:sz="0" w:space="0" w:color="auto"/>
        <w:bottom w:val="none" w:sz="0" w:space="0" w:color="auto"/>
        <w:right w:val="none" w:sz="0" w:space="0" w:color="auto"/>
      </w:divBdr>
    </w:div>
    <w:div w:id="739795545">
      <w:bodyDiv w:val="1"/>
      <w:marLeft w:val="0"/>
      <w:marRight w:val="0"/>
      <w:marTop w:val="0"/>
      <w:marBottom w:val="0"/>
      <w:divBdr>
        <w:top w:val="none" w:sz="0" w:space="0" w:color="auto"/>
        <w:left w:val="none" w:sz="0" w:space="0" w:color="auto"/>
        <w:bottom w:val="none" w:sz="0" w:space="0" w:color="auto"/>
        <w:right w:val="none" w:sz="0" w:space="0" w:color="auto"/>
      </w:divBdr>
    </w:div>
    <w:div w:id="887036156">
      <w:bodyDiv w:val="1"/>
      <w:marLeft w:val="0"/>
      <w:marRight w:val="0"/>
      <w:marTop w:val="0"/>
      <w:marBottom w:val="0"/>
      <w:divBdr>
        <w:top w:val="none" w:sz="0" w:space="0" w:color="auto"/>
        <w:left w:val="none" w:sz="0" w:space="0" w:color="auto"/>
        <w:bottom w:val="none" w:sz="0" w:space="0" w:color="auto"/>
        <w:right w:val="none" w:sz="0" w:space="0" w:color="auto"/>
      </w:divBdr>
      <w:divsChild>
        <w:div w:id="1013143017">
          <w:marLeft w:val="0"/>
          <w:marRight w:val="0"/>
          <w:marTop w:val="0"/>
          <w:marBottom w:val="0"/>
          <w:divBdr>
            <w:top w:val="none" w:sz="0" w:space="0" w:color="auto"/>
            <w:left w:val="none" w:sz="0" w:space="0" w:color="auto"/>
            <w:bottom w:val="none" w:sz="0" w:space="0" w:color="auto"/>
            <w:right w:val="none" w:sz="0" w:space="0" w:color="auto"/>
          </w:divBdr>
        </w:div>
      </w:divsChild>
    </w:div>
    <w:div w:id="896165829">
      <w:bodyDiv w:val="1"/>
      <w:marLeft w:val="0"/>
      <w:marRight w:val="0"/>
      <w:marTop w:val="0"/>
      <w:marBottom w:val="0"/>
      <w:divBdr>
        <w:top w:val="none" w:sz="0" w:space="0" w:color="auto"/>
        <w:left w:val="none" w:sz="0" w:space="0" w:color="auto"/>
        <w:bottom w:val="none" w:sz="0" w:space="0" w:color="auto"/>
        <w:right w:val="none" w:sz="0" w:space="0" w:color="auto"/>
      </w:divBdr>
      <w:divsChild>
        <w:div w:id="733772826">
          <w:marLeft w:val="0"/>
          <w:marRight w:val="0"/>
          <w:marTop w:val="0"/>
          <w:marBottom w:val="0"/>
          <w:divBdr>
            <w:top w:val="none" w:sz="0" w:space="0" w:color="auto"/>
            <w:left w:val="none" w:sz="0" w:space="0" w:color="auto"/>
            <w:bottom w:val="none" w:sz="0" w:space="0" w:color="auto"/>
            <w:right w:val="none" w:sz="0" w:space="0" w:color="auto"/>
          </w:divBdr>
        </w:div>
        <w:div w:id="276765468">
          <w:marLeft w:val="0"/>
          <w:marRight w:val="0"/>
          <w:marTop w:val="0"/>
          <w:marBottom w:val="0"/>
          <w:divBdr>
            <w:top w:val="none" w:sz="0" w:space="0" w:color="auto"/>
            <w:left w:val="none" w:sz="0" w:space="0" w:color="auto"/>
            <w:bottom w:val="none" w:sz="0" w:space="0" w:color="auto"/>
            <w:right w:val="none" w:sz="0" w:space="0" w:color="auto"/>
          </w:divBdr>
        </w:div>
        <w:div w:id="1367755867">
          <w:marLeft w:val="0"/>
          <w:marRight w:val="0"/>
          <w:marTop w:val="0"/>
          <w:marBottom w:val="0"/>
          <w:divBdr>
            <w:top w:val="none" w:sz="0" w:space="0" w:color="auto"/>
            <w:left w:val="none" w:sz="0" w:space="0" w:color="auto"/>
            <w:bottom w:val="none" w:sz="0" w:space="0" w:color="auto"/>
            <w:right w:val="none" w:sz="0" w:space="0" w:color="auto"/>
          </w:divBdr>
        </w:div>
        <w:div w:id="572085469">
          <w:marLeft w:val="0"/>
          <w:marRight w:val="0"/>
          <w:marTop w:val="0"/>
          <w:marBottom w:val="0"/>
          <w:divBdr>
            <w:top w:val="none" w:sz="0" w:space="0" w:color="auto"/>
            <w:left w:val="none" w:sz="0" w:space="0" w:color="auto"/>
            <w:bottom w:val="none" w:sz="0" w:space="0" w:color="auto"/>
            <w:right w:val="none" w:sz="0" w:space="0" w:color="auto"/>
          </w:divBdr>
        </w:div>
      </w:divsChild>
    </w:div>
    <w:div w:id="912203550">
      <w:bodyDiv w:val="1"/>
      <w:marLeft w:val="0"/>
      <w:marRight w:val="0"/>
      <w:marTop w:val="0"/>
      <w:marBottom w:val="0"/>
      <w:divBdr>
        <w:top w:val="none" w:sz="0" w:space="0" w:color="auto"/>
        <w:left w:val="none" w:sz="0" w:space="0" w:color="auto"/>
        <w:bottom w:val="none" w:sz="0" w:space="0" w:color="auto"/>
        <w:right w:val="none" w:sz="0" w:space="0" w:color="auto"/>
      </w:divBdr>
    </w:div>
    <w:div w:id="914827567">
      <w:bodyDiv w:val="1"/>
      <w:marLeft w:val="0"/>
      <w:marRight w:val="0"/>
      <w:marTop w:val="0"/>
      <w:marBottom w:val="0"/>
      <w:divBdr>
        <w:top w:val="none" w:sz="0" w:space="0" w:color="auto"/>
        <w:left w:val="none" w:sz="0" w:space="0" w:color="auto"/>
        <w:bottom w:val="none" w:sz="0" w:space="0" w:color="auto"/>
        <w:right w:val="none" w:sz="0" w:space="0" w:color="auto"/>
      </w:divBdr>
    </w:div>
    <w:div w:id="943345927">
      <w:bodyDiv w:val="1"/>
      <w:marLeft w:val="0"/>
      <w:marRight w:val="0"/>
      <w:marTop w:val="0"/>
      <w:marBottom w:val="0"/>
      <w:divBdr>
        <w:top w:val="none" w:sz="0" w:space="0" w:color="auto"/>
        <w:left w:val="none" w:sz="0" w:space="0" w:color="auto"/>
        <w:bottom w:val="none" w:sz="0" w:space="0" w:color="auto"/>
        <w:right w:val="none" w:sz="0" w:space="0" w:color="auto"/>
      </w:divBdr>
      <w:divsChild>
        <w:div w:id="668095622">
          <w:marLeft w:val="0"/>
          <w:marRight w:val="0"/>
          <w:marTop w:val="0"/>
          <w:marBottom w:val="0"/>
          <w:divBdr>
            <w:top w:val="none" w:sz="0" w:space="0" w:color="auto"/>
            <w:left w:val="none" w:sz="0" w:space="0" w:color="auto"/>
            <w:bottom w:val="none" w:sz="0" w:space="0" w:color="auto"/>
            <w:right w:val="none" w:sz="0" w:space="0" w:color="auto"/>
          </w:divBdr>
        </w:div>
        <w:div w:id="1512723480">
          <w:marLeft w:val="0"/>
          <w:marRight w:val="0"/>
          <w:marTop w:val="0"/>
          <w:marBottom w:val="0"/>
          <w:divBdr>
            <w:top w:val="none" w:sz="0" w:space="0" w:color="auto"/>
            <w:left w:val="none" w:sz="0" w:space="0" w:color="auto"/>
            <w:bottom w:val="none" w:sz="0" w:space="0" w:color="auto"/>
            <w:right w:val="none" w:sz="0" w:space="0" w:color="auto"/>
          </w:divBdr>
        </w:div>
        <w:div w:id="1930581505">
          <w:marLeft w:val="0"/>
          <w:marRight w:val="0"/>
          <w:marTop w:val="0"/>
          <w:marBottom w:val="0"/>
          <w:divBdr>
            <w:top w:val="none" w:sz="0" w:space="0" w:color="auto"/>
            <w:left w:val="none" w:sz="0" w:space="0" w:color="auto"/>
            <w:bottom w:val="none" w:sz="0" w:space="0" w:color="auto"/>
            <w:right w:val="none" w:sz="0" w:space="0" w:color="auto"/>
          </w:divBdr>
        </w:div>
      </w:divsChild>
    </w:div>
    <w:div w:id="1285817620">
      <w:bodyDiv w:val="1"/>
      <w:marLeft w:val="0"/>
      <w:marRight w:val="0"/>
      <w:marTop w:val="0"/>
      <w:marBottom w:val="0"/>
      <w:divBdr>
        <w:top w:val="none" w:sz="0" w:space="0" w:color="auto"/>
        <w:left w:val="none" w:sz="0" w:space="0" w:color="auto"/>
        <w:bottom w:val="none" w:sz="0" w:space="0" w:color="auto"/>
        <w:right w:val="none" w:sz="0" w:space="0" w:color="auto"/>
      </w:divBdr>
      <w:divsChild>
        <w:div w:id="1633292072">
          <w:marLeft w:val="0"/>
          <w:marRight w:val="0"/>
          <w:marTop w:val="0"/>
          <w:marBottom w:val="0"/>
          <w:divBdr>
            <w:top w:val="none" w:sz="0" w:space="0" w:color="auto"/>
            <w:left w:val="none" w:sz="0" w:space="0" w:color="auto"/>
            <w:bottom w:val="none" w:sz="0" w:space="0" w:color="auto"/>
            <w:right w:val="none" w:sz="0" w:space="0" w:color="auto"/>
          </w:divBdr>
        </w:div>
      </w:divsChild>
    </w:div>
    <w:div w:id="1347051336">
      <w:bodyDiv w:val="1"/>
      <w:marLeft w:val="0"/>
      <w:marRight w:val="0"/>
      <w:marTop w:val="0"/>
      <w:marBottom w:val="0"/>
      <w:divBdr>
        <w:top w:val="none" w:sz="0" w:space="0" w:color="auto"/>
        <w:left w:val="none" w:sz="0" w:space="0" w:color="auto"/>
        <w:bottom w:val="none" w:sz="0" w:space="0" w:color="auto"/>
        <w:right w:val="none" w:sz="0" w:space="0" w:color="auto"/>
      </w:divBdr>
    </w:div>
    <w:div w:id="1371762469">
      <w:bodyDiv w:val="1"/>
      <w:marLeft w:val="0"/>
      <w:marRight w:val="0"/>
      <w:marTop w:val="0"/>
      <w:marBottom w:val="0"/>
      <w:divBdr>
        <w:top w:val="none" w:sz="0" w:space="0" w:color="auto"/>
        <w:left w:val="none" w:sz="0" w:space="0" w:color="auto"/>
        <w:bottom w:val="none" w:sz="0" w:space="0" w:color="auto"/>
        <w:right w:val="none" w:sz="0" w:space="0" w:color="auto"/>
      </w:divBdr>
      <w:divsChild>
        <w:div w:id="696197779">
          <w:marLeft w:val="0"/>
          <w:marRight w:val="0"/>
          <w:marTop w:val="0"/>
          <w:marBottom w:val="0"/>
          <w:divBdr>
            <w:top w:val="none" w:sz="0" w:space="0" w:color="auto"/>
            <w:left w:val="none" w:sz="0" w:space="0" w:color="auto"/>
            <w:bottom w:val="none" w:sz="0" w:space="0" w:color="auto"/>
            <w:right w:val="none" w:sz="0" w:space="0" w:color="auto"/>
          </w:divBdr>
        </w:div>
      </w:divsChild>
    </w:div>
    <w:div w:id="1405570269">
      <w:bodyDiv w:val="1"/>
      <w:marLeft w:val="0"/>
      <w:marRight w:val="0"/>
      <w:marTop w:val="0"/>
      <w:marBottom w:val="0"/>
      <w:divBdr>
        <w:top w:val="none" w:sz="0" w:space="0" w:color="auto"/>
        <w:left w:val="none" w:sz="0" w:space="0" w:color="auto"/>
        <w:bottom w:val="none" w:sz="0" w:space="0" w:color="auto"/>
        <w:right w:val="none" w:sz="0" w:space="0" w:color="auto"/>
      </w:divBdr>
      <w:divsChild>
        <w:div w:id="969673774">
          <w:marLeft w:val="0"/>
          <w:marRight w:val="0"/>
          <w:marTop w:val="0"/>
          <w:marBottom w:val="0"/>
          <w:divBdr>
            <w:top w:val="none" w:sz="0" w:space="0" w:color="auto"/>
            <w:left w:val="none" w:sz="0" w:space="0" w:color="auto"/>
            <w:bottom w:val="none" w:sz="0" w:space="0" w:color="auto"/>
            <w:right w:val="none" w:sz="0" w:space="0" w:color="auto"/>
          </w:divBdr>
        </w:div>
      </w:divsChild>
    </w:div>
    <w:div w:id="1432965723">
      <w:bodyDiv w:val="1"/>
      <w:marLeft w:val="0"/>
      <w:marRight w:val="0"/>
      <w:marTop w:val="0"/>
      <w:marBottom w:val="0"/>
      <w:divBdr>
        <w:top w:val="none" w:sz="0" w:space="0" w:color="auto"/>
        <w:left w:val="none" w:sz="0" w:space="0" w:color="auto"/>
        <w:bottom w:val="none" w:sz="0" w:space="0" w:color="auto"/>
        <w:right w:val="none" w:sz="0" w:space="0" w:color="auto"/>
      </w:divBdr>
      <w:divsChild>
        <w:div w:id="506941821">
          <w:marLeft w:val="0"/>
          <w:marRight w:val="0"/>
          <w:marTop w:val="0"/>
          <w:marBottom w:val="0"/>
          <w:divBdr>
            <w:top w:val="none" w:sz="0" w:space="0" w:color="auto"/>
            <w:left w:val="none" w:sz="0" w:space="0" w:color="auto"/>
            <w:bottom w:val="none" w:sz="0" w:space="0" w:color="auto"/>
            <w:right w:val="none" w:sz="0" w:space="0" w:color="auto"/>
          </w:divBdr>
        </w:div>
      </w:divsChild>
    </w:div>
    <w:div w:id="1462071464">
      <w:bodyDiv w:val="1"/>
      <w:marLeft w:val="0"/>
      <w:marRight w:val="0"/>
      <w:marTop w:val="0"/>
      <w:marBottom w:val="0"/>
      <w:divBdr>
        <w:top w:val="none" w:sz="0" w:space="0" w:color="auto"/>
        <w:left w:val="none" w:sz="0" w:space="0" w:color="auto"/>
        <w:bottom w:val="none" w:sz="0" w:space="0" w:color="auto"/>
        <w:right w:val="none" w:sz="0" w:space="0" w:color="auto"/>
      </w:divBdr>
    </w:div>
    <w:div w:id="2020228276">
      <w:bodyDiv w:val="1"/>
      <w:marLeft w:val="0"/>
      <w:marRight w:val="0"/>
      <w:marTop w:val="0"/>
      <w:marBottom w:val="0"/>
      <w:divBdr>
        <w:top w:val="none" w:sz="0" w:space="0" w:color="auto"/>
        <w:left w:val="none" w:sz="0" w:space="0" w:color="auto"/>
        <w:bottom w:val="none" w:sz="0" w:space="0" w:color="auto"/>
        <w:right w:val="none" w:sz="0" w:space="0" w:color="auto"/>
      </w:divBdr>
    </w:div>
    <w:div w:id="2134591251">
      <w:bodyDiv w:val="1"/>
      <w:marLeft w:val="0"/>
      <w:marRight w:val="0"/>
      <w:marTop w:val="0"/>
      <w:marBottom w:val="0"/>
      <w:divBdr>
        <w:top w:val="none" w:sz="0" w:space="0" w:color="auto"/>
        <w:left w:val="none" w:sz="0" w:space="0" w:color="auto"/>
        <w:bottom w:val="none" w:sz="0" w:space="0" w:color="auto"/>
        <w:right w:val="none" w:sz="0" w:space="0" w:color="auto"/>
      </w:divBdr>
      <w:divsChild>
        <w:div w:id="1513181371">
          <w:marLeft w:val="0"/>
          <w:marRight w:val="0"/>
          <w:marTop w:val="0"/>
          <w:marBottom w:val="0"/>
          <w:divBdr>
            <w:top w:val="none" w:sz="0" w:space="0" w:color="auto"/>
            <w:left w:val="none" w:sz="0" w:space="0" w:color="auto"/>
            <w:bottom w:val="none" w:sz="0" w:space="0" w:color="auto"/>
            <w:right w:val="none" w:sz="0" w:space="0" w:color="auto"/>
          </w:divBdr>
        </w:div>
        <w:div w:id="145208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Лепётова Кристина Алексеевна</dc:creator>
  <cp:keywords/>
  <dc:description/>
  <cp:lastModifiedBy>Лепётова Кристина Алексеевна</cp:lastModifiedBy>
  <cp:revision>3</cp:revision>
  <dcterms:created xsi:type="dcterms:W3CDTF">2024-04-26T09:50:00Z</dcterms:created>
  <dcterms:modified xsi:type="dcterms:W3CDTF">2024-04-26T14:11:00Z</dcterms:modified>
</cp:coreProperties>
</file>