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B1" w:rsidRPr="00E45F62" w:rsidRDefault="003843B1" w:rsidP="003843B1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-117475</wp:posOffset>
            </wp:positionV>
            <wp:extent cx="571500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3B1" w:rsidRPr="00E45F62" w:rsidRDefault="003843B1" w:rsidP="003843B1">
      <w:pPr>
        <w:pStyle w:val="2"/>
        <w:ind w:left="576" w:hanging="576"/>
        <w:rPr>
          <w:rFonts w:ascii="Times New Roman" w:hAnsi="Times New Roman"/>
          <w:i/>
          <w:color w:val="000000"/>
          <w:lang w:eastAsia="ar-SA"/>
        </w:rPr>
      </w:pPr>
    </w:p>
    <w:p w:rsidR="003843B1" w:rsidRPr="00690DCA" w:rsidRDefault="003843B1" w:rsidP="003843B1">
      <w:pPr>
        <w:pStyle w:val="2"/>
        <w:ind w:left="576" w:hanging="576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Отдел</w:t>
      </w:r>
      <w:r w:rsidRPr="00690DC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Пенсионного фонда РФ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Ловозерском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районе </w:t>
      </w:r>
      <w:r w:rsidRPr="00690DC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3843B1" w:rsidRPr="00690DCA" w:rsidRDefault="003843B1" w:rsidP="003843B1">
      <w:pPr>
        <w:spacing w:line="240" w:lineRule="auto"/>
        <w:jc w:val="center"/>
        <w:rPr>
          <w:b/>
          <w:sz w:val="16"/>
          <w:szCs w:val="16"/>
          <w:lang w:eastAsia="ar-SA"/>
        </w:rPr>
      </w:pPr>
      <w:r w:rsidRPr="00690DCA">
        <w:rPr>
          <w:b/>
          <w:sz w:val="16"/>
          <w:szCs w:val="16"/>
          <w:lang w:eastAsia="ar-SA"/>
        </w:rPr>
        <w:t>___________________________________________________________________________________________________________________</w:t>
      </w:r>
    </w:p>
    <w:p w:rsidR="003843B1" w:rsidRDefault="003843B1" w:rsidP="003843B1">
      <w:pPr>
        <w:keepNext/>
        <w:keepLines/>
        <w:tabs>
          <w:tab w:val="left" w:pos="0"/>
        </w:tabs>
        <w:autoSpaceDE w:val="0"/>
        <w:spacing w:line="240" w:lineRule="auto"/>
        <w:jc w:val="both"/>
        <w:rPr>
          <w:color w:val="000000"/>
          <w:kern w:val="1"/>
          <w:sz w:val="20"/>
          <w:szCs w:val="20"/>
          <w:lang w:eastAsia="ar-SA"/>
        </w:rPr>
        <w:sectPr w:rsidR="003843B1" w:rsidSect="003843B1">
          <w:pgSz w:w="11906" w:h="16838"/>
          <w:pgMar w:top="719" w:right="850" w:bottom="284" w:left="1701" w:header="708" w:footer="708" w:gutter="0"/>
          <w:cols w:space="708"/>
          <w:docGrid w:linePitch="360"/>
        </w:sectPr>
      </w:pPr>
    </w:p>
    <w:p w:rsidR="003843B1" w:rsidRPr="003843B1" w:rsidRDefault="003843B1" w:rsidP="003843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3B1">
        <w:rPr>
          <w:rFonts w:ascii="Times New Roman" w:hAnsi="Times New Roman" w:cs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7pt;width:175.05pt;height:27pt;z-index:251661312" filled="f" stroked="f">
            <v:textbox style="mso-next-textbox:#_x0000_s1027">
              <w:txbxContent>
                <w:p w:rsidR="003843B1" w:rsidRPr="00A91FAF" w:rsidRDefault="003843B1" w:rsidP="003843B1">
                  <w:pPr>
                    <w:keepNext/>
                    <w:keepLines/>
                    <w:autoSpaceDE w:val="0"/>
                    <w:spacing w:line="100" w:lineRule="atLeast"/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 w:rsidRPr="003843B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3843B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843B1">
        <w:rPr>
          <w:rFonts w:ascii="Times New Roman" w:hAnsi="Times New Roman" w:cs="Times New Roman"/>
          <w:b/>
          <w:sz w:val="28"/>
          <w:szCs w:val="28"/>
        </w:rPr>
        <w:t>Перевод средств пенсионных накоплений: итоги 2016 года</w:t>
      </w:r>
    </w:p>
    <w:p w:rsidR="003843B1" w:rsidRPr="001C2F14" w:rsidRDefault="003843B1" w:rsidP="003843B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ab/>
      </w:r>
      <w:r w:rsidRPr="001C2F14">
        <w:rPr>
          <w:rFonts w:ascii="Times New Roman" w:hAnsi="Times New Roman" w:cs="Times New Roman"/>
          <w:sz w:val="26"/>
          <w:szCs w:val="26"/>
        </w:rPr>
        <w:t xml:space="preserve">Пенсионный фонд России подвел итоги переходной кампании 2016 года по переводу гражданами своих пенсионных накоплений из одного пенсионного фонда в другой и в управляющие компании (УК). </w:t>
      </w:r>
    </w:p>
    <w:p w:rsidR="003843B1" w:rsidRPr="001C2F14" w:rsidRDefault="003843B1" w:rsidP="003843B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F14">
        <w:rPr>
          <w:rFonts w:ascii="Times New Roman" w:hAnsi="Times New Roman" w:cs="Times New Roman"/>
          <w:sz w:val="26"/>
          <w:szCs w:val="26"/>
        </w:rPr>
        <w:tab/>
        <w:t xml:space="preserve">Всего в 2016 году ПФР принял к рассмотрению 12,0 </w:t>
      </w:r>
      <w:proofErr w:type="spellStart"/>
      <w:proofErr w:type="gramStart"/>
      <w:r w:rsidRPr="001C2F14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1C2F14">
        <w:rPr>
          <w:rFonts w:ascii="Times New Roman" w:hAnsi="Times New Roman" w:cs="Times New Roman"/>
          <w:sz w:val="26"/>
          <w:szCs w:val="26"/>
        </w:rPr>
        <w:t xml:space="preserve"> заявлений граждан о смене пенсионного фонда или выборе УК. Согласно действующему законодательству решение принималось по заявлению с самой поздней датой поступления в ПФР, вне зависимости от общего количества заявлений, которое поступило от гражданина в течение года. </w:t>
      </w:r>
    </w:p>
    <w:p w:rsidR="003843B1" w:rsidRPr="001C2F14" w:rsidRDefault="003843B1" w:rsidP="003843B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F14">
        <w:rPr>
          <w:rFonts w:ascii="Times New Roman" w:hAnsi="Times New Roman" w:cs="Times New Roman"/>
          <w:sz w:val="26"/>
          <w:szCs w:val="26"/>
        </w:rPr>
        <w:tab/>
        <w:t xml:space="preserve">Положительные решения приняты по 6,5 </w:t>
      </w:r>
      <w:proofErr w:type="spellStart"/>
      <w:proofErr w:type="gramStart"/>
      <w:r w:rsidRPr="001C2F14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1C2F14">
        <w:rPr>
          <w:rFonts w:ascii="Times New Roman" w:hAnsi="Times New Roman" w:cs="Times New Roman"/>
          <w:sz w:val="26"/>
          <w:szCs w:val="26"/>
        </w:rPr>
        <w:t xml:space="preserve"> заявлений (54,2% от принятых к рассмотрению заявлений). Из них 4,7 </w:t>
      </w:r>
      <w:proofErr w:type="spellStart"/>
      <w:proofErr w:type="gramStart"/>
      <w:r w:rsidRPr="001C2F14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1C2F14">
        <w:rPr>
          <w:rFonts w:ascii="Times New Roman" w:hAnsi="Times New Roman" w:cs="Times New Roman"/>
          <w:sz w:val="26"/>
          <w:szCs w:val="26"/>
        </w:rPr>
        <w:t xml:space="preserve"> человек перевели свои пенсионные накопления из ПФР в НПФ; 1,7 </w:t>
      </w:r>
      <w:proofErr w:type="spellStart"/>
      <w:r w:rsidRPr="001C2F14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Pr="001C2F14">
        <w:rPr>
          <w:rFonts w:ascii="Times New Roman" w:hAnsi="Times New Roman" w:cs="Times New Roman"/>
          <w:sz w:val="26"/>
          <w:szCs w:val="26"/>
        </w:rPr>
        <w:t xml:space="preserve"> человек перешли из одного НПФ в другой; 79,3 тыс. человек вернулись из НПФ в ПФР; 9,1 тыс. человек изменили выбор управляющей компании.</w:t>
      </w:r>
    </w:p>
    <w:p w:rsidR="003843B1" w:rsidRPr="001C2F14" w:rsidRDefault="003843B1" w:rsidP="003843B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F14">
        <w:rPr>
          <w:rFonts w:ascii="Times New Roman" w:hAnsi="Times New Roman" w:cs="Times New Roman"/>
          <w:sz w:val="26"/>
          <w:szCs w:val="26"/>
        </w:rPr>
        <w:tab/>
        <w:t xml:space="preserve">Как и в переходную кампанию 2015 года, ПФР принимал заявления о досрочном переходе (по итогам года) и «пятилетнем» переходе. Досрочные заявления, по которым пенсионные накопления подлежат передаче в 2017 году, составили 6,45 </w:t>
      </w:r>
      <w:proofErr w:type="spellStart"/>
      <w:proofErr w:type="gramStart"/>
      <w:r w:rsidRPr="001C2F14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1C2F14">
        <w:rPr>
          <w:rFonts w:ascii="Times New Roman" w:hAnsi="Times New Roman" w:cs="Times New Roman"/>
          <w:sz w:val="26"/>
          <w:szCs w:val="26"/>
        </w:rPr>
        <w:t xml:space="preserve"> заявлений (99,2% от общего количества удовлетворенных заявлений), в том числе: 4,65 </w:t>
      </w:r>
      <w:proofErr w:type="spellStart"/>
      <w:r w:rsidRPr="001C2F14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Pr="001C2F14">
        <w:rPr>
          <w:rFonts w:ascii="Times New Roman" w:hAnsi="Times New Roman" w:cs="Times New Roman"/>
          <w:sz w:val="26"/>
          <w:szCs w:val="26"/>
        </w:rPr>
        <w:t xml:space="preserve"> заявлений из ПФР в НПФ; 1,7 </w:t>
      </w:r>
      <w:proofErr w:type="spellStart"/>
      <w:r w:rsidRPr="001C2F14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Pr="001C2F14">
        <w:rPr>
          <w:rFonts w:ascii="Times New Roman" w:hAnsi="Times New Roman" w:cs="Times New Roman"/>
          <w:sz w:val="26"/>
          <w:szCs w:val="26"/>
        </w:rPr>
        <w:t xml:space="preserve"> заявлений из НПФ в другой НПФ, 72 тыс. заявлений из НПФ в ПФР. </w:t>
      </w:r>
    </w:p>
    <w:p w:rsidR="003843B1" w:rsidRPr="001C2F14" w:rsidRDefault="003843B1" w:rsidP="003843B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F14">
        <w:rPr>
          <w:rFonts w:ascii="Times New Roman" w:hAnsi="Times New Roman" w:cs="Times New Roman"/>
          <w:sz w:val="26"/>
          <w:szCs w:val="26"/>
        </w:rPr>
        <w:tab/>
        <w:t xml:space="preserve">По 0,25 </w:t>
      </w:r>
      <w:proofErr w:type="spellStart"/>
      <w:proofErr w:type="gramStart"/>
      <w:r w:rsidRPr="001C2F14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1C2F14">
        <w:rPr>
          <w:rFonts w:ascii="Times New Roman" w:hAnsi="Times New Roman" w:cs="Times New Roman"/>
          <w:sz w:val="26"/>
          <w:szCs w:val="26"/>
        </w:rPr>
        <w:t xml:space="preserve"> заявлений граждан (заявления о «пятилетнем» переходе)               еще не наступил срок рассмотрения – в соответствии с действующим законодательством эти заявления будут рассмотрены в 2021 году.</w:t>
      </w:r>
    </w:p>
    <w:p w:rsidR="003843B1" w:rsidRPr="001C2F14" w:rsidRDefault="003843B1" w:rsidP="003843B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F14">
        <w:rPr>
          <w:rFonts w:ascii="Times New Roman" w:hAnsi="Times New Roman" w:cs="Times New Roman"/>
          <w:sz w:val="26"/>
          <w:szCs w:val="26"/>
        </w:rPr>
        <w:tab/>
        <w:t xml:space="preserve">В результате кампании 2016 года отказы были вынесены по 5,2 </w:t>
      </w:r>
      <w:proofErr w:type="spellStart"/>
      <w:proofErr w:type="gramStart"/>
      <w:r w:rsidRPr="001C2F14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1C2F14">
        <w:rPr>
          <w:rFonts w:ascii="Times New Roman" w:hAnsi="Times New Roman" w:cs="Times New Roman"/>
          <w:sz w:val="26"/>
          <w:szCs w:val="26"/>
        </w:rPr>
        <w:t xml:space="preserve"> заявлений. Основные причины отказов традиционно следующие:</w:t>
      </w:r>
    </w:p>
    <w:p w:rsidR="003843B1" w:rsidRPr="001C2F14" w:rsidRDefault="003843B1" w:rsidP="001C2F1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F14">
        <w:rPr>
          <w:rFonts w:ascii="Times New Roman" w:hAnsi="Times New Roman" w:cs="Times New Roman"/>
          <w:sz w:val="26"/>
          <w:szCs w:val="26"/>
        </w:rPr>
        <w:tab/>
        <w:t xml:space="preserve">- наличие заявления с более поздней датой – 2,9 </w:t>
      </w:r>
      <w:proofErr w:type="spellStart"/>
      <w:proofErr w:type="gramStart"/>
      <w:r w:rsidRPr="001C2F14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1C2F1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843B1" w:rsidRPr="001C2F14" w:rsidRDefault="003843B1" w:rsidP="001C2F1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F14">
        <w:rPr>
          <w:rFonts w:ascii="Times New Roman" w:hAnsi="Times New Roman" w:cs="Times New Roman"/>
          <w:sz w:val="26"/>
          <w:szCs w:val="26"/>
        </w:rPr>
        <w:tab/>
        <w:t xml:space="preserve">- заявления подано застрахованным лицом, но уведомление НПФ о вновь заключенном договоре ОПС в ПФР не поступало – 1,6 </w:t>
      </w:r>
      <w:proofErr w:type="spellStart"/>
      <w:proofErr w:type="gramStart"/>
      <w:r w:rsidRPr="001C2F14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1C2F14">
        <w:rPr>
          <w:rFonts w:ascii="Times New Roman" w:hAnsi="Times New Roman" w:cs="Times New Roman"/>
          <w:sz w:val="26"/>
          <w:szCs w:val="26"/>
        </w:rPr>
        <w:t>;</w:t>
      </w:r>
    </w:p>
    <w:p w:rsidR="003843B1" w:rsidRPr="001C2F14" w:rsidRDefault="003843B1" w:rsidP="001C2F1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F14">
        <w:rPr>
          <w:rFonts w:ascii="Times New Roman" w:hAnsi="Times New Roman" w:cs="Times New Roman"/>
          <w:sz w:val="26"/>
          <w:szCs w:val="26"/>
        </w:rPr>
        <w:tab/>
        <w:t xml:space="preserve">- заявление подано в пользу текущего страховщика – 0,145 </w:t>
      </w:r>
      <w:proofErr w:type="spellStart"/>
      <w:proofErr w:type="gramStart"/>
      <w:r w:rsidRPr="001C2F14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1C2F14">
        <w:rPr>
          <w:rFonts w:ascii="Times New Roman" w:hAnsi="Times New Roman" w:cs="Times New Roman"/>
          <w:sz w:val="26"/>
          <w:szCs w:val="26"/>
        </w:rPr>
        <w:t>;</w:t>
      </w:r>
    </w:p>
    <w:p w:rsidR="003843B1" w:rsidRPr="001C2F14" w:rsidRDefault="003843B1" w:rsidP="001C2F1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F14">
        <w:rPr>
          <w:rFonts w:ascii="Times New Roman" w:hAnsi="Times New Roman" w:cs="Times New Roman"/>
          <w:sz w:val="26"/>
          <w:szCs w:val="26"/>
        </w:rPr>
        <w:tab/>
        <w:t xml:space="preserve">- заявление подано с нарушением установленного порядка подачи (в один день от застрахованного лица поступило несколько заявлений) – 0,154 </w:t>
      </w:r>
      <w:proofErr w:type="spellStart"/>
      <w:proofErr w:type="gramStart"/>
      <w:r w:rsidRPr="001C2F14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1C2F14">
        <w:rPr>
          <w:rFonts w:ascii="Times New Roman" w:hAnsi="Times New Roman" w:cs="Times New Roman"/>
          <w:sz w:val="26"/>
          <w:szCs w:val="26"/>
        </w:rPr>
        <w:t>;</w:t>
      </w:r>
    </w:p>
    <w:p w:rsidR="003843B1" w:rsidRPr="001C2F14" w:rsidRDefault="003843B1" w:rsidP="001C2F1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F14">
        <w:rPr>
          <w:rFonts w:ascii="Times New Roman" w:hAnsi="Times New Roman" w:cs="Times New Roman"/>
          <w:sz w:val="26"/>
          <w:szCs w:val="26"/>
        </w:rPr>
        <w:tab/>
        <w:t xml:space="preserve">- подан неверный тип заявления – 0,23 </w:t>
      </w:r>
      <w:proofErr w:type="spellStart"/>
      <w:proofErr w:type="gramStart"/>
      <w:r w:rsidRPr="001C2F14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1C2F14">
        <w:rPr>
          <w:rFonts w:ascii="Times New Roman" w:hAnsi="Times New Roman" w:cs="Times New Roman"/>
          <w:sz w:val="26"/>
          <w:szCs w:val="26"/>
        </w:rPr>
        <w:t>;</w:t>
      </w:r>
    </w:p>
    <w:p w:rsidR="00000000" w:rsidRDefault="003843B1" w:rsidP="003843B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2F1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C2F14">
        <w:rPr>
          <w:rFonts w:ascii="Times New Roman" w:hAnsi="Times New Roman" w:cs="Times New Roman"/>
          <w:sz w:val="26"/>
          <w:szCs w:val="26"/>
        </w:rPr>
        <w:t>- выбранный НПФ не включен в реестр участников системы гарантирования прав застрахованных лиц и у выбранного НПФ аннулирована лицензия                       на осуществление деятельности по обязательному пенсионному страхованию – 0,12 млн.</w:t>
      </w:r>
      <w:proofErr w:type="gramEnd"/>
    </w:p>
    <w:p w:rsidR="001C2F14" w:rsidRPr="001C2F14" w:rsidRDefault="001C2F14" w:rsidP="003843B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                      Власова Т.Б.</w:t>
      </w:r>
    </w:p>
    <w:sectPr w:rsidR="001C2F14" w:rsidRPr="001C2F14" w:rsidSect="003843B1">
      <w:type w:val="continuous"/>
      <w:pgSz w:w="11906" w:h="16838"/>
      <w:pgMar w:top="142" w:right="746" w:bottom="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3B1"/>
    <w:rsid w:val="001C2F14"/>
    <w:rsid w:val="003843B1"/>
    <w:rsid w:val="008A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843B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43B1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061-00902</dc:creator>
  <cp:keywords/>
  <dc:description/>
  <cp:lastModifiedBy>061-00902</cp:lastModifiedBy>
  <cp:revision>5</cp:revision>
  <cp:lastPrinted>2017-04-20T10:16:00Z</cp:lastPrinted>
  <dcterms:created xsi:type="dcterms:W3CDTF">2017-04-20T10:07:00Z</dcterms:created>
  <dcterms:modified xsi:type="dcterms:W3CDTF">2017-04-20T10:20:00Z</dcterms:modified>
</cp:coreProperties>
</file>